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附件2</w:t>
      </w:r>
    </w:p>
    <w:p>
      <w:pPr>
        <w:pStyle w:val="2"/>
        <w:jc w:val="center"/>
        <w:rPr>
          <w:rFonts w:hint="eastAsia" w:ascii="方正小标宋简体" w:hAnsi="方正小标宋简体" w:eastAsia="方正小标宋简体" w:cs="方正小标宋简体"/>
          <w:color w:val="auto"/>
          <w:kern w:val="2"/>
          <w:sz w:val="44"/>
          <w:szCs w:val="44"/>
          <w:lang w:val="en-US" w:eastAsia="zh-CN" w:bidi="ar-SA"/>
        </w:rPr>
      </w:pPr>
      <w:bookmarkStart w:id="0" w:name="_GoBack"/>
      <w:r>
        <w:rPr>
          <w:rFonts w:hint="eastAsia" w:ascii="方正小标宋简体" w:hAnsi="方正小标宋简体" w:eastAsia="方正小标宋简体" w:cs="方正小标宋简体"/>
          <w:color w:val="auto"/>
          <w:kern w:val="2"/>
          <w:sz w:val="44"/>
          <w:szCs w:val="44"/>
          <w:lang w:val="en-US" w:eastAsia="zh-CN" w:bidi="ar-SA"/>
        </w:rPr>
        <w:t>商务领域首违轻微违法行为不予处罚清单</w:t>
      </w:r>
    </w:p>
    <w:bookmarkEnd w:id="0"/>
    <w:tbl>
      <w:tblPr>
        <w:tblStyle w:val="6"/>
        <w:tblW w:w="0" w:type="auto"/>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1733"/>
        <w:gridCol w:w="2550"/>
        <w:gridCol w:w="5850"/>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bCs w:val="0"/>
                <w:i w:val="0"/>
                <w:caps w:val="0"/>
                <w:color w:val="auto"/>
                <w:spacing w:val="0"/>
                <w:kern w:val="0"/>
                <w:sz w:val="32"/>
                <w:szCs w:val="32"/>
                <w:shd w:val="clear" w:color="auto" w:fill="FFFFFF"/>
                <w:vertAlign w:val="baseline"/>
                <w:lang w:val="en-US" w:eastAsia="zh-CN" w:bidi="ar"/>
              </w:rPr>
            </w:pPr>
            <w:r>
              <w:rPr>
                <w:rFonts w:hint="eastAsia" w:ascii="黑体" w:hAnsi="黑体" w:eastAsia="黑体" w:cs="黑体"/>
                <w:b w:val="0"/>
                <w:bCs w:val="0"/>
                <w:i w:val="0"/>
                <w:caps w:val="0"/>
                <w:color w:val="auto"/>
                <w:spacing w:val="0"/>
                <w:kern w:val="0"/>
                <w:sz w:val="32"/>
                <w:szCs w:val="32"/>
                <w:shd w:val="clear" w:color="auto" w:fill="FFFFFF"/>
                <w:vertAlign w:val="baseline"/>
                <w:lang w:val="en-US" w:eastAsia="zh-CN" w:bidi="ar"/>
              </w:rPr>
              <w:t>序号</w:t>
            </w:r>
          </w:p>
        </w:tc>
        <w:tc>
          <w:tcPr>
            <w:tcW w:w="173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bCs w:val="0"/>
                <w:i w:val="0"/>
                <w:caps w:val="0"/>
                <w:color w:val="auto"/>
                <w:spacing w:val="0"/>
                <w:kern w:val="0"/>
                <w:sz w:val="32"/>
                <w:szCs w:val="32"/>
                <w:shd w:val="clear" w:color="auto" w:fill="FFFFFF"/>
                <w:vertAlign w:val="baseline"/>
                <w:lang w:val="en-US" w:eastAsia="zh-CN" w:bidi="ar"/>
              </w:rPr>
            </w:pPr>
            <w:r>
              <w:rPr>
                <w:rFonts w:hint="eastAsia" w:ascii="黑体" w:hAnsi="黑体" w:eastAsia="黑体" w:cs="黑体"/>
                <w:b w:val="0"/>
                <w:bCs w:val="0"/>
                <w:i w:val="0"/>
                <w:caps w:val="0"/>
                <w:color w:val="auto"/>
                <w:spacing w:val="0"/>
                <w:kern w:val="0"/>
                <w:sz w:val="32"/>
                <w:szCs w:val="32"/>
                <w:shd w:val="clear" w:color="auto" w:fill="FFFFFF"/>
                <w:vertAlign w:val="baseline"/>
                <w:lang w:val="en-US" w:eastAsia="zh-CN" w:bidi="ar"/>
              </w:rPr>
              <w:t>轻微违法行为</w:t>
            </w:r>
          </w:p>
        </w:tc>
        <w:tc>
          <w:tcPr>
            <w:tcW w:w="255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bCs w:val="0"/>
                <w:i w:val="0"/>
                <w:caps w:val="0"/>
                <w:color w:val="auto"/>
                <w:spacing w:val="0"/>
                <w:kern w:val="0"/>
                <w:sz w:val="32"/>
                <w:szCs w:val="32"/>
                <w:shd w:val="clear" w:color="auto" w:fill="FFFFFF"/>
                <w:vertAlign w:val="baseline"/>
                <w:lang w:val="en-US" w:eastAsia="zh-CN" w:bidi="ar"/>
              </w:rPr>
            </w:pPr>
            <w:r>
              <w:rPr>
                <w:rFonts w:hint="eastAsia" w:ascii="黑体" w:hAnsi="黑体" w:eastAsia="黑体" w:cs="黑体"/>
                <w:b w:val="0"/>
                <w:bCs w:val="0"/>
                <w:i w:val="0"/>
                <w:caps w:val="0"/>
                <w:color w:val="auto"/>
                <w:spacing w:val="0"/>
                <w:kern w:val="0"/>
                <w:sz w:val="32"/>
                <w:szCs w:val="32"/>
                <w:shd w:val="clear" w:color="auto" w:fill="FFFFFF"/>
                <w:vertAlign w:val="baseline"/>
                <w:lang w:val="en-US" w:eastAsia="zh-CN" w:bidi="ar"/>
              </w:rPr>
              <w:t>依法不予行政</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bCs w:val="0"/>
                <w:i w:val="0"/>
                <w:caps w:val="0"/>
                <w:color w:val="auto"/>
                <w:spacing w:val="0"/>
                <w:kern w:val="0"/>
                <w:sz w:val="32"/>
                <w:szCs w:val="32"/>
                <w:shd w:val="clear" w:color="auto" w:fill="FFFFFF"/>
                <w:vertAlign w:val="baseline"/>
                <w:lang w:val="en-US" w:eastAsia="zh-CN" w:bidi="ar"/>
              </w:rPr>
            </w:pPr>
            <w:r>
              <w:rPr>
                <w:rFonts w:hint="eastAsia" w:ascii="黑体" w:hAnsi="黑体" w:eastAsia="黑体" w:cs="黑体"/>
                <w:b w:val="0"/>
                <w:bCs w:val="0"/>
                <w:i w:val="0"/>
                <w:caps w:val="0"/>
                <w:color w:val="auto"/>
                <w:spacing w:val="0"/>
                <w:kern w:val="0"/>
                <w:sz w:val="32"/>
                <w:szCs w:val="32"/>
                <w:shd w:val="clear" w:color="auto" w:fill="FFFFFF"/>
                <w:vertAlign w:val="baseline"/>
                <w:lang w:val="en-US" w:eastAsia="zh-CN" w:bidi="ar"/>
              </w:rPr>
              <w:t>处罚的情形</w:t>
            </w:r>
          </w:p>
        </w:tc>
        <w:tc>
          <w:tcPr>
            <w:tcW w:w="585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bCs w:val="0"/>
                <w:i w:val="0"/>
                <w:caps w:val="0"/>
                <w:color w:val="auto"/>
                <w:spacing w:val="0"/>
                <w:kern w:val="0"/>
                <w:sz w:val="32"/>
                <w:szCs w:val="32"/>
                <w:shd w:val="clear" w:color="auto" w:fill="FFFFFF"/>
                <w:vertAlign w:val="baseline"/>
                <w:lang w:val="en-US" w:eastAsia="zh-CN" w:bidi="ar"/>
              </w:rPr>
            </w:pPr>
            <w:r>
              <w:rPr>
                <w:rFonts w:hint="eastAsia" w:ascii="黑体" w:hAnsi="黑体" w:eastAsia="黑体" w:cs="黑体"/>
                <w:b w:val="0"/>
                <w:bCs w:val="0"/>
                <w:i w:val="0"/>
                <w:caps w:val="0"/>
                <w:color w:val="auto"/>
                <w:spacing w:val="0"/>
                <w:kern w:val="0"/>
                <w:sz w:val="32"/>
                <w:szCs w:val="32"/>
                <w:shd w:val="clear" w:color="auto" w:fill="FFFFFF"/>
                <w:vertAlign w:val="baseline"/>
                <w:lang w:val="en-US" w:eastAsia="zh-CN" w:bidi="ar"/>
              </w:rPr>
              <w:t>法律、法规和规章依据</w:t>
            </w:r>
          </w:p>
        </w:tc>
        <w:tc>
          <w:tcPr>
            <w:tcW w:w="166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bCs w:val="0"/>
                <w:i w:val="0"/>
                <w:caps w:val="0"/>
                <w:color w:val="auto"/>
                <w:spacing w:val="0"/>
                <w:kern w:val="0"/>
                <w:sz w:val="32"/>
                <w:szCs w:val="32"/>
                <w:shd w:val="clear" w:color="auto" w:fill="FFFFFF"/>
                <w:vertAlign w:val="baseline"/>
                <w:lang w:val="en-US" w:eastAsia="zh-CN" w:bidi="ar"/>
              </w:rPr>
            </w:pPr>
            <w:r>
              <w:rPr>
                <w:rFonts w:hint="eastAsia" w:ascii="黑体" w:hAnsi="黑体" w:eastAsia="黑体" w:cs="黑体"/>
                <w:b w:val="0"/>
                <w:bCs w:val="0"/>
                <w:i w:val="0"/>
                <w:caps w:val="0"/>
                <w:color w:val="auto"/>
                <w:spacing w:val="0"/>
                <w:kern w:val="0"/>
                <w:sz w:val="32"/>
                <w:szCs w:val="32"/>
                <w:shd w:val="clear" w:color="auto" w:fill="FFFFFF"/>
                <w:vertAlign w:val="baseline"/>
                <w:lang w:val="en-US" w:eastAsia="zh-CN" w:bidi="ar"/>
              </w:rPr>
              <w:t>实施科室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7" w:hRule="atLeast"/>
        </w:trPr>
        <w:tc>
          <w:tcPr>
            <w:tcW w:w="91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i w:val="0"/>
                <w:caps w:val="0"/>
                <w:color w:val="auto"/>
                <w:spacing w:val="0"/>
                <w:kern w:val="0"/>
                <w:sz w:val="20"/>
                <w:szCs w:val="20"/>
                <w:shd w:val="clear" w:color="auto" w:fill="FFFFFF"/>
                <w:vertAlign w:val="baseline"/>
                <w:lang w:val="en-US" w:eastAsia="zh-CN" w:bidi="ar"/>
              </w:rPr>
            </w:pPr>
            <w:r>
              <w:rPr>
                <w:rFonts w:hint="eastAsia" w:ascii="宋体" w:hAnsi="宋体" w:eastAsia="宋体" w:cs="宋体"/>
                <w:b w:val="0"/>
                <w:bCs w:val="0"/>
                <w:i w:val="0"/>
                <w:caps w:val="0"/>
                <w:color w:val="auto"/>
                <w:spacing w:val="0"/>
                <w:kern w:val="0"/>
                <w:sz w:val="20"/>
                <w:szCs w:val="20"/>
                <w:shd w:val="clear" w:color="auto" w:fill="FFFFFF"/>
                <w:vertAlign w:val="baseline"/>
                <w:lang w:val="en-US" w:eastAsia="zh-CN" w:bidi="ar"/>
              </w:rPr>
              <w:t>1</w:t>
            </w:r>
          </w:p>
        </w:tc>
        <w:tc>
          <w:tcPr>
            <w:tcW w:w="1733" w:type="dxa"/>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b w:val="0"/>
                <w:bCs w:val="0"/>
                <w:i w:val="0"/>
                <w:caps w:val="0"/>
                <w:color w:val="auto"/>
                <w:spacing w:val="0"/>
                <w:kern w:val="0"/>
                <w:sz w:val="20"/>
                <w:szCs w:val="20"/>
                <w:shd w:val="clear" w:color="auto" w:fill="FFFFFF"/>
                <w:vertAlign w:val="baseline"/>
                <w:lang w:val="en-US" w:eastAsia="zh-CN" w:bidi="ar"/>
              </w:rPr>
            </w:pPr>
            <w:r>
              <w:rPr>
                <w:rFonts w:hint="eastAsia" w:ascii="宋体" w:hAnsi="宋体" w:eastAsia="宋体" w:cs="宋体"/>
                <w:b w:val="0"/>
                <w:bCs w:val="0"/>
                <w:i w:val="0"/>
                <w:caps w:val="0"/>
                <w:color w:val="auto"/>
                <w:spacing w:val="0"/>
                <w:kern w:val="0"/>
                <w:sz w:val="20"/>
                <w:szCs w:val="20"/>
                <w:shd w:val="clear" w:color="auto" w:fill="FFFFFF"/>
                <w:vertAlign w:val="baseline"/>
                <w:lang w:val="en-US" w:eastAsia="zh-CN" w:bidi="ar"/>
              </w:rPr>
              <w:t>违反《商业特许经营管理条例》有关规定</w:t>
            </w:r>
          </w:p>
        </w:tc>
        <w:tc>
          <w:tcPr>
            <w:tcW w:w="2550" w:type="dxa"/>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宋体" w:hAnsi="宋体" w:eastAsia="宋体" w:cs="宋体"/>
                <w:b w:val="0"/>
                <w:bCs w:val="0"/>
                <w:i w:val="0"/>
                <w:caps w:val="0"/>
                <w:color w:val="auto"/>
                <w:spacing w:val="0"/>
                <w:kern w:val="0"/>
                <w:sz w:val="20"/>
                <w:szCs w:val="20"/>
                <w:shd w:val="clear" w:color="auto" w:fill="FFFFFF"/>
                <w:vertAlign w:val="baseline"/>
                <w:lang w:val="en-US" w:eastAsia="zh-CN" w:bidi="ar"/>
              </w:rPr>
            </w:pPr>
            <w:r>
              <w:rPr>
                <w:rFonts w:hint="eastAsia" w:ascii="宋体" w:hAnsi="宋体" w:eastAsia="宋体" w:cs="宋体"/>
                <w:b w:val="0"/>
                <w:bCs w:val="0"/>
                <w:i w:val="0"/>
                <w:caps w:val="0"/>
                <w:color w:val="auto"/>
                <w:spacing w:val="0"/>
                <w:kern w:val="0"/>
                <w:sz w:val="20"/>
                <w:szCs w:val="20"/>
                <w:shd w:val="clear" w:color="auto" w:fill="FFFFFF"/>
                <w:vertAlign w:val="baseline"/>
                <w:lang w:val="en-US" w:eastAsia="zh-CN" w:bidi="ar"/>
              </w:rPr>
              <w:t>经责令改正后在规定期限内改正完毕，未造成不良后果。</w:t>
            </w:r>
            <w:r>
              <w:rPr>
                <w:rFonts w:hint="eastAsia" w:ascii="宋体" w:hAnsi="宋体" w:cs="宋体"/>
                <w:b w:val="0"/>
                <w:bCs w:val="0"/>
                <w:i w:val="0"/>
                <w:caps w:val="0"/>
                <w:color w:val="auto"/>
                <w:spacing w:val="0"/>
                <w:kern w:val="0"/>
                <w:sz w:val="20"/>
                <w:szCs w:val="20"/>
                <w:shd w:val="clear" w:color="auto" w:fill="FFFFFF"/>
                <w:vertAlign w:val="baseline"/>
                <w:lang w:val="en-US" w:eastAsia="zh-CN" w:bidi="ar"/>
              </w:rPr>
              <w:t xml:space="preserve"> </w:t>
            </w:r>
          </w:p>
        </w:tc>
        <w:tc>
          <w:tcPr>
            <w:tcW w:w="5850" w:type="dxa"/>
            <w:noWrap w:val="0"/>
            <w:vAlign w:val="center"/>
          </w:tcPr>
          <w:p>
            <w:pPr>
              <w:keepNext w:val="0"/>
              <w:keepLines w:val="0"/>
              <w:pageBreakBefore w:val="0"/>
              <w:widowControl w:val="0"/>
              <w:kinsoku/>
              <w:wordWrap/>
              <w:overflowPunct/>
              <w:topLinePunct w:val="0"/>
              <w:autoSpaceDE/>
              <w:autoSpaceDN/>
              <w:bidi w:val="0"/>
              <w:adjustRightInd/>
              <w:snapToGrid/>
              <w:ind w:firstLine="400" w:firstLineChars="200"/>
              <w:jc w:val="left"/>
              <w:textAlignment w:val="auto"/>
              <w:rPr>
                <w:rFonts w:hint="eastAsia" w:ascii="宋体" w:hAnsi="宋体" w:eastAsia="宋体" w:cs="宋体"/>
                <w:i w:val="0"/>
                <w:color w:val="auto"/>
                <w:kern w:val="0"/>
                <w:sz w:val="20"/>
                <w:szCs w:val="20"/>
                <w:u w:val="none"/>
                <w:lang w:val="en-US" w:eastAsia="zh-CN" w:bidi="ar"/>
              </w:rPr>
            </w:pPr>
            <w:r>
              <w:rPr>
                <w:rFonts w:hint="eastAsia" w:ascii="宋体" w:hAnsi="宋体" w:cs="宋体"/>
                <w:b w:val="0"/>
                <w:bCs w:val="0"/>
                <w:i w:val="0"/>
                <w:caps w:val="0"/>
                <w:color w:val="auto"/>
                <w:spacing w:val="0"/>
                <w:kern w:val="0"/>
                <w:sz w:val="20"/>
                <w:szCs w:val="20"/>
                <w:shd w:val="clear" w:color="auto" w:fill="FFFFFF"/>
                <w:vertAlign w:val="baseline"/>
                <w:lang w:val="en-US" w:eastAsia="zh-CN" w:bidi="ar"/>
              </w:rPr>
              <w:t>1.</w:t>
            </w:r>
            <w:r>
              <w:rPr>
                <w:rFonts w:hint="eastAsia" w:ascii="宋体" w:hAnsi="宋体" w:eastAsia="宋体" w:cs="宋体"/>
                <w:b w:val="0"/>
                <w:bCs w:val="0"/>
                <w:i w:val="0"/>
                <w:caps w:val="0"/>
                <w:color w:val="auto"/>
                <w:spacing w:val="0"/>
                <w:kern w:val="0"/>
                <w:sz w:val="20"/>
                <w:szCs w:val="20"/>
                <w:shd w:val="clear" w:color="auto" w:fill="FFFFFF"/>
                <w:vertAlign w:val="baseline"/>
                <w:lang w:val="en-US" w:eastAsia="zh-CN" w:bidi="ar"/>
              </w:rPr>
              <w:t>《商业特许经营管理条例》</w:t>
            </w:r>
            <w:r>
              <w:rPr>
                <w:rFonts w:hint="eastAsia" w:ascii="宋体" w:hAnsi="宋体" w:eastAsia="宋体" w:cs="宋体"/>
                <w:i w:val="0"/>
                <w:color w:val="auto"/>
                <w:kern w:val="0"/>
                <w:sz w:val="20"/>
                <w:szCs w:val="20"/>
                <w:u w:val="none"/>
                <w:lang w:val="en-US" w:eastAsia="zh-CN" w:bidi="ar"/>
              </w:rPr>
              <w:t>（</w:t>
            </w:r>
            <w:r>
              <w:rPr>
                <w:rFonts w:hint="eastAsia" w:ascii="宋体" w:hAnsi="宋体" w:eastAsia="宋体" w:cs="宋体"/>
                <w:b w:val="0"/>
                <w:bCs w:val="0"/>
                <w:i w:val="0"/>
                <w:caps w:val="0"/>
                <w:color w:val="auto"/>
                <w:spacing w:val="0"/>
                <w:kern w:val="0"/>
                <w:sz w:val="20"/>
                <w:szCs w:val="20"/>
                <w:shd w:val="clear" w:color="auto" w:fill="FFFFFF"/>
                <w:vertAlign w:val="baseline"/>
                <w:lang w:val="en-US" w:eastAsia="zh-CN" w:bidi="ar"/>
              </w:rPr>
              <w:t>国务院令2007年第485号</w:t>
            </w:r>
            <w:r>
              <w:rPr>
                <w:rFonts w:hint="eastAsia" w:ascii="宋体" w:hAnsi="宋体" w:eastAsia="宋体" w:cs="宋体"/>
                <w:i w:val="0"/>
                <w:color w:val="auto"/>
                <w:kern w:val="0"/>
                <w:sz w:val="20"/>
                <w:szCs w:val="20"/>
                <w:u w:val="none"/>
                <w:lang w:val="en-US" w:eastAsia="zh-CN" w:bidi="ar"/>
              </w:rPr>
              <w:t>）</w:t>
            </w:r>
          </w:p>
          <w:p>
            <w:pPr>
              <w:keepNext w:val="0"/>
              <w:keepLines w:val="0"/>
              <w:pageBreakBefore w:val="0"/>
              <w:widowControl w:val="0"/>
              <w:kinsoku/>
              <w:wordWrap/>
              <w:overflowPunct/>
              <w:topLinePunct w:val="0"/>
              <w:autoSpaceDE/>
              <w:autoSpaceDN/>
              <w:bidi w:val="0"/>
              <w:adjustRightInd/>
              <w:snapToGrid/>
              <w:ind w:firstLine="400" w:firstLineChars="200"/>
              <w:jc w:val="left"/>
              <w:textAlignment w:val="auto"/>
              <w:rPr>
                <w:rFonts w:hint="eastAsia" w:ascii="宋体" w:hAnsi="宋体" w:eastAsia="宋体" w:cs="宋体"/>
                <w:b w:val="0"/>
                <w:bCs w:val="0"/>
                <w:i w:val="0"/>
                <w:caps w:val="0"/>
                <w:color w:val="auto"/>
                <w:spacing w:val="0"/>
                <w:kern w:val="0"/>
                <w:sz w:val="20"/>
                <w:szCs w:val="20"/>
                <w:shd w:val="clear" w:color="auto" w:fill="FFFFFF"/>
                <w:vertAlign w:val="baseline"/>
                <w:lang w:val="en-US" w:eastAsia="zh-CN" w:bidi="ar"/>
              </w:rPr>
            </w:pPr>
            <w:r>
              <w:rPr>
                <w:rFonts w:hint="eastAsia" w:ascii="宋体" w:hAnsi="宋体" w:eastAsia="宋体" w:cs="宋体"/>
                <w:b w:val="0"/>
                <w:bCs w:val="0"/>
                <w:i w:val="0"/>
                <w:caps w:val="0"/>
                <w:color w:val="auto"/>
                <w:spacing w:val="0"/>
                <w:kern w:val="0"/>
                <w:sz w:val="20"/>
                <w:szCs w:val="20"/>
                <w:shd w:val="clear" w:color="auto" w:fill="FFFFFF"/>
                <w:vertAlign w:val="baseline"/>
                <w:lang w:val="en-US" w:eastAsia="zh-CN" w:bidi="ar"/>
              </w:rPr>
              <w:t>第二十四条</w:t>
            </w:r>
            <w:r>
              <w:rPr>
                <w:rFonts w:hint="eastAsia" w:ascii="宋体" w:hAnsi="宋体" w:eastAsia="宋体" w:cs="宋体"/>
                <w:i w:val="0"/>
                <w:color w:val="auto"/>
                <w:kern w:val="0"/>
                <w:sz w:val="20"/>
                <w:szCs w:val="20"/>
                <w:u w:val="none"/>
                <w:lang w:val="en-US" w:eastAsia="zh-CN" w:bidi="ar"/>
              </w:rPr>
              <w:t>：</w:t>
            </w:r>
            <w:r>
              <w:rPr>
                <w:rFonts w:hint="eastAsia" w:ascii="宋体" w:hAnsi="宋体" w:eastAsia="宋体" w:cs="宋体"/>
                <w:b w:val="0"/>
                <w:bCs w:val="0"/>
                <w:i w:val="0"/>
                <w:caps w:val="0"/>
                <w:color w:val="auto"/>
                <w:spacing w:val="0"/>
                <w:kern w:val="0"/>
                <w:sz w:val="20"/>
                <w:szCs w:val="20"/>
                <w:shd w:val="clear" w:color="auto" w:fill="FFFFFF"/>
                <w:vertAlign w:val="baseline"/>
                <w:lang w:val="en-US" w:eastAsia="zh-CN" w:bidi="ar"/>
              </w:rPr>
              <w:t>特许人不具备本条例第七条第二款规定的条件，从事特许经营活动的，由商务主管部门责令改正，没收违法所得，处10万元以上50万元以下的罚款，并予以公告。</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b w:val="0"/>
                <w:bCs w:val="0"/>
                <w:i w:val="0"/>
                <w:caps w:val="0"/>
                <w:color w:val="auto"/>
                <w:spacing w:val="0"/>
                <w:kern w:val="0"/>
                <w:sz w:val="20"/>
                <w:szCs w:val="20"/>
                <w:shd w:val="clear" w:color="auto" w:fill="FFFFFF"/>
                <w:vertAlign w:val="baseline"/>
                <w:lang w:val="en-US" w:eastAsia="zh-CN" w:bidi="ar"/>
              </w:rPr>
            </w:pPr>
            <w:r>
              <w:rPr>
                <w:rFonts w:hint="eastAsia" w:ascii="宋体" w:hAnsi="宋体" w:eastAsia="宋体" w:cs="宋体"/>
                <w:b w:val="0"/>
                <w:bCs w:val="0"/>
                <w:i w:val="0"/>
                <w:caps w:val="0"/>
                <w:color w:val="auto"/>
                <w:spacing w:val="0"/>
                <w:kern w:val="0"/>
                <w:sz w:val="20"/>
                <w:szCs w:val="20"/>
                <w:shd w:val="clear" w:color="auto" w:fill="FFFFFF"/>
                <w:vertAlign w:val="baseline"/>
                <w:lang w:val="en-US" w:eastAsia="zh-CN" w:bidi="ar"/>
              </w:rPr>
              <w:t>　　企业以外的其他单位和个人作为特许人从事特许经营活动的，由商务主管部门责令停止非法经营活动，没收违法所得，并处10万元以上50万元以下的罚款。</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b w:val="0"/>
                <w:bCs w:val="0"/>
                <w:i w:val="0"/>
                <w:caps w:val="0"/>
                <w:color w:val="auto"/>
                <w:spacing w:val="0"/>
                <w:kern w:val="0"/>
                <w:sz w:val="20"/>
                <w:szCs w:val="20"/>
                <w:shd w:val="clear" w:color="auto" w:fill="FFFFFF"/>
                <w:vertAlign w:val="baseline"/>
                <w:lang w:val="en-US" w:eastAsia="zh-CN" w:bidi="ar"/>
              </w:rPr>
            </w:pPr>
            <w:r>
              <w:rPr>
                <w:rFonts w:hint="eastAsia" w:ascii="宋体" w:hAnsi="宋体" w:eastAsia="宋体" w:cs="宋体"/>
                <w:b w:val="0"/>
                <w:bCs w:val="0"/>
                <w:i w:val="0"/>
                <w:caps w:val="0"/>
                <w:color w:val="auto"/>
                <w:spacing w:val="0"/>
                <w:kern w:val="0"/>
                <w:sz w:val="20"/>
                <w:szCs w:val="20"/>
                <w:shd w:val="clear" w:color="auto" w:fill="FFFFFF"/>
                <w:vertAlign w:val="baseline"/>
                <w:lang w:val="en-US" w:eastAsia="zh-CN" w:bidi="ar"/>
              </w:rPr>
              <w:t>　　第二十五条</w:t>
            </w:r>
            <w:r>
              <w:rPr>
                <w:rFonts w:hint="eastAsia" w:ascii="宋体" w:hAnsi="宋体" w:eastAsia="宋体" w:cs="宋体"/>
                <w:i w:val="0"/>
                <w:color w:val="auto"/>
                <w:kern w:val="0"/>
                <w:sz w:val="20"/>
                <w:szCs w:val="20"/>
                <w:u w:val="none"/>
                <w:lang w:val="en-US" w:eastAsia="zh-CN" w:bidi="ar"/>
              </w:rPr>
              <w:t>：</w:t>
            </w:r>
            <w:r>
              <w:rPr>
                <w:rFonts w:hint="eastAsia" w:ascii="宋体" w:hAnsi="宋体" w:eastAsia="宋体" w:cs="宋体"/>
                <w:b w:val="0"/>
                <w:bCs w:val="0"/>
                <w:i w:val="0"/>
                <w:caps w:val="0"/>
                <w:color w:val="auto"/>
                <w:spacing w:val="0"/>
                <w:kern w:val="0"/>
                <w:sz w:val="20"/>
                <w:szCs w:val="20"/>
                <w:shd w:val="clear" w:color="auto" w:fill="FFFFFF"/>
                <w:vertAlign w:val="baseline"/>
                <w:lang w:val="en-US" w:eastAsia="zh-CN" w:bidi="ar"/>
              </w:rPr>
              <w:t>特许人未依照本条例第八条的规定向商务主管部门备案的，由商务主管部门责令限期备案，处1万元以上5万元以下的罚款；逾期仍不备案的，处5万元以上10万元以下的罚款，并予以公告。</w:t>
            </w:r>
          </w:p>
          <w:p>
            <w:pPr>
              <w:keepNext w:val="0"/>
              <w:keepLines w:val="0"/>
              <w:pageBreakBefore w:val="0"/>
              <w:widowControl w:val="0"/>
              <w:kinsoku/>
              <w:wordWrap/>
              <w:overflowPunct/>
              <w:topLinePunct w:val="0"/>
              <w:autoSpaceDE/>
              <w:autoSpaceDN/>
              <w:bidi w:val="0"/>
              <w:adjustRightInd/>
              <w:snapToGrid/>
              <w:ind w:firstLine="400"/>
              <w:jc w:val="left"/>
              <w:textAlignment w:val="auto"/>
              <w:rPr>
                <w:rFonts w:hint="eastAsia" w:ascii="宋体" w:hAnsi="宋体" w:cs="宋体"/>
                <w:b w:val="0"/>
                <w:bCs w:val="0"/>
                <w:i w:val="0"/>
                <w:caps w:val="0"/>
                <w:color w:val="auto"/>
                <w:spacing w:val="0"/>
                <w:kern w:val="0"/>
                <w:sz w:val="20"/>
                <w:szCs w:val="20"/>
                <w:shd w:val="clear" w:color="auto" w:fill="FFFFFF"/>
                <w:vertAlign w:val="baseline"/>
                <w:lang w:val="en-US" w:eastAsia="zh-CN" w:bidi="ar"/>
              </w:rPr>
            </w:pPr>
            <w:r>
              <w:rPr>
                <w:rFonts w:hint="eastAsia" w:ascii="宋体" w:hAnsi="宋体" w:eastAsia="宋体" w:cs="宋体"/>
                <w:b w:val="0"/>
                <w:bCs w:val="0"/>
                <w:i w:val="0"/>
                <w:caps w:val="0"/>
                <w:color w:val="auto"/>
                <w:spacing w:val="0"/>
                <w:kern w:val="0"/>
                <w:sz w:val="20"/>
                <w:szCs w:val="20"/>
                <w:shd w:val="clear" w:color="auto" w:fill="FFFFFF"/>
                <w:vertAlign w:val="baseline"/>
                <w:lang w:val="en-US" w:eastAsia="zh-CN" w:bidi="ar"/>
              </w:rPr>
              <w:t>第二十六条</w:t>
            </w:r>
            <w:r>
              <w:rPr>
                <w:rFonts w:hint="eastAsia" w:ascii="宋体" w:hAnsi="宋体" w:eastAsia="宋体" w:cs="宋体"/>
                <w:i w:val="0"/>
                <w:color w:val="auto"/>
                <w:kern w:val="0"/>
                <w:sz w:val="20"/>
                <w:szCs w:val="20"/>
                <w:u w:val="none"/>
                <w:lang w:val="en-US" w:eastAsia="zh-CN" w:bidi="ar"/>
              </w:rPr>
              <w:t>：</w:t>
            </w:r>
            <w:r>
              <w:rPr>
                <w:rFonts w:hint="eastAsia" w:ascii="宋体" w:hAnsi="宋体" w:eastAsia="宋体" w:cs="宋体"/>
                <w:b w:val="0"/>
                <w:bCs w:val="0"/>
                <w:i w:val="0"/>
                <w:caps w:val="0"/>
                <w:color w:val="auto"/>
                <w:spacing w:val="0"/>
                <w:kern w:val="0"/>
                <w:sz w:val="20"/>
                <w:szCs w:val="20"/>
                <w:shd w:val="clear" w:color="auto" w:fill="FFFFFF"/>
                <w:vertAlign w:val="baseline"/>
                <w:lang w:val="en-US" w:eastAsia="zh-CN" w:bidi="ar"/>
              </w:rPr>
              <w:t xml:space="preserve">特许人违反本条例第十六条、第十九条规定的，由商务主管部门责令改正，可以处1万元以下的罚款；情节严重的，处1万元以上5万元以下的罚款，并予以公告。                                                 </w:t>
            </w:r>
            <w:r>
              <w:rPr>
                <w:rFonts w:hint="eastAsia" w:ascii="宋体" w:hAnsi="宋体" w:cs="宋体"/>
                <w:b w:val="0"/>
                <w:bCs w:val="0"/>
                <w:i w:val="0"/>
                <w:caps w:val="0"/>
                <w:color w:val="auto"/>
                <w:spacing w:val="0"/>
                <w:kern w:val="0"/>
                <w:sz w:val="20"/>
                <w:szCs w:val="20"/>
                <w:shd w:val="clear" w:color="auto" w:fill="FFFFFF"/>
                <w:vertAlign w:val="baseline"/>
                <w:lang w:val="en-US" w:eastAsia="zh-CN" w:bidi="ar"/>
              </w:rPr>
              <w:t xml:space="preserve">  </w:t>
            </w:r>
          </w:p>
          <w:p>
            <w:pPr>
              <w:keepNext w:val="0"/>
              <w:keepLines w:val="0"/>
              <w:pageBreakBefore w:val="0"/>
              <w:widowControl w:val="0"/>
              <w:kinsoku/>
              <w:wordWrap/>
              <w:overflowPunct/>
              <w:topLinePunct w:val="0"/>
              <w:autoSpaceDE/>
              <w:autoSpaceDN/>
              <w:bidi w:val="0"/>
              <w:adjustRightInd/>
              <w:snapToGrid/>
              <w:ind w:firstLine="400"/>
              <w:jc w:val="left"/>
              <w:textAlignment w:val="auto"/>
              <w:rPr>
                <w:rFonts w:hint="eastAsia" w:ascii="宋体" w:hAnsi="宋体" w:eastAsia="宋体" w:cs="宋体"/>
                <w:b w:val="0"/>
                <w:bCs w:val="0"/>
                <w:i w:val="0"/>
                <w:caps w:val="0"/>
                <w:color w:val="auto"/>
                <w:spacing w:val="0"/>
                <w:kern w:val="0"/>
                <w:sz w:val="20"/>
                <w:szCs w:val="20"/>
                <w:shd w:val="clear" w:color="auto" w:fill="FFFFFF"/>
                <w:vertAlign w:val="baseline"/>
                <w:lang w:val="en-US" w:eastAsia="zh-CN" w:bidi="ar"/>
              </w:rPr>
            </w:pPr>
            <w:r>
              <w:rPr>
                <w:rFonts w:hint="eastAsia" w:ascii="宋体" w:hAnsi="宋体" w:eastAsia="宋体" w:cs="宋体"/>
                <w:b w:val="0"/>
                <w:bCs w:val="0"/>
                <w:i w:val="0"/>
                <w:caps w:val="0"/>
                <w:color w:val="auto"/>
                <w:spacing w:val="0"/>
                <w:kern w:val="0"/>
                <w:sz w:val="20"/>
                <w:szCs w:val="20"/>
                <w:shd w:val="clear" w:color="auto" w:fill="FFFFFF"/>
                <w:vertAlign w:val="baseline"/>
                <w:lang w:val="en-US" w:eastAsia="zh-CN" w:bidi="ar"/>
              </w:rPr>
              <w:t>第二十八条</w:t>
            </w:r>
            <w:r>
              <w:rPr>
                <w:rFonts w:hint="eastAsia" w:ascii="宋体" w:hAnsi="宋体" w:eastAsia="宋体" w:cs="宋体"/>
                <w:i w:val="0"/>
                <w:color w:val="auto"/>
                <w:kern w:val="0"/>
                <w:sz w:val="20"/>
                <w:szCs w:val="20"/>
                <w:u w:val="none"/>
                <w:lang w:val="en-US" w:eastAsia="zh-CN" w:bidi="ar"/>
              </w:rPr>
              <w:t>：</w:t>
            </w:r>
            <w:r>
              <w:rPr>
                <w:rFonts w:hint="eastAsia" w:ascii="宋体" w:hAnsi="宋体" w:eastAsia="宋体" w:cs="宋体"/>
                <w:b w:val="0"/>
                <w:bCs w:val="0"/>
                <w:i w:val="0"/>
                <w:caps w:val="0"/>
                <w:color w:val="auto"/>
                <w:spacing w:val="0"/>
                <w:kern w:val="0"/>
                <w:sz w:val="20"/>
                <w:szCs w:val="20"/>
                <w:shd w:val="clear" w:color="auto" w:fill="FFFFFF"/>
                <w:vertAlign w:val="baseline"/>
                <w:lang w:val="en-US" w:eastAsia="zh-CN" w:bidi="ar"/>
              </w:rPr>
              <w:t>特许人违反本条例第二十一条、第二十三条规定，被特许人向商务主管部门举报并经查实的，由商务主管部门责令改正，处1万元以上5万元以下的罚款；情节严重的，处5万元以上10万元以下的罚款，并予以公告。</w:t>
            </w:r>
          </w:p>
        </w:tc>
        <w:tc>
          <w:tcPr>
            <w:tcW w:w="1667" w:type="dxa"/>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b w:val="0"/>
                <w:bCs w:val="0"/>
                <w:i w:val="0"/>
                <w:caps w:val="0"/>
                <w:color w:val="auto"/>
                <w:spacing w:val="0"/>
                <w:kern w:val="0"/>
                <w:sz w:val="20"/>
                <w:szCs w:val="20"/>
                <w:shd w:val="clear" w:color="auto" w:fill="FFFFFF"/>
                <w:vertAlign w:val="baseline"/>
                <w:lang w:val="en-US" w:eastAsia="zh-CN" w:bidi="ar"/>
              </w:rPr>
            </w:pPr>
            <w:r>
              <w:rPr>
                <w:rFonts w:hint="eastAsia" w:ascii="宋体" w:hAnsi="宋体" w:eastAsia="宋体" w:cs="宋体"/>
                <w:b w:val="0"/>
                <w:bCs w:val="0"/>
                <w:i w:val="0"/>
                <w:caps w:val="0"/>
                <w:color w:val="auto"/>
                <w:spacing w:val="0"/>
                <w:kern w:val="0"/>
                <w:sz w:val="20"/>
                <w:szCs w:val="20"/>
                <w:shd w:val="clear" w:color="auto" w:fill="FFFFFF"/>
                <w:vertAlign w:val="baseline"/>
                <w:lang w:val="en-US" w:eastAsia="zh-CN" w:bidi="ar"/>
              </w:rPr>
              <w:t>现代商贸服务科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2" w:hRule="atLeast"/>
        </w:trPr>
        <w:tc>
          <w:tcPr>
            <w:tcW w:w="91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i w:val="0"/>
                <w:caps w:val="0"/>
                <w:color w:val="auto"/>
                <w:spacing w:val="0"/>
                <w:kern w:val="0"/>
                <w:sz w:val="20"/>
                <w:szCs w:val="20"/>
                <w:shd w:val="clear" w:color="auto" w:fill="FFFFFF"/>
                <w:vertAlign w:val="baseline"/>
                <w:lang w:val="en-US" w:eastAsia="zh-CN" w:bidi="ar"/>
              </w:rPr>
            </w:pPr>
            <w:r>
              <w:rPr>
                <w:rFonts w:hint="eastAsia" w:ascii="宋体" w:hAnsi="宋体" w:cs="宋体"/>
                <w:b w:val="0"/>
                <w:bCs w:val="0"/>
                <w:i w:val="0"/>
                <w:caps w:val="0"/>
                <w:color w:val="auto"/>
                <w:spacing w:val="0"/>
                <w:kern w:val="0"/>
                <w:sz w:val="20"/>
                <w:szCs w:val="20"/>
                <w:shd w:val="clear" w:color="auto" w:fill="FFFFFF"/>
                <w:vertAlign w:val="baseline"/>
                <w:lang w:val="en-US" w:eastAsia="zh-CN" w:bidi="ar"/>
              </w:rPr>
              <w:t>2</w:t>
            </w:r>
          </w:p>
        </w:tc>
        <w:tc>
          <w:tcPr>
            <w:tcW w:w="1733" w:type="dxa"/>
            <w:noWrap w:val="0"/>
            <w:vAlign w:val="center"/>
          </w:tcPr>
          <w:p>
            <w:pPr>
              <w:keepNext w:val="0"/>
              <w:keepLines w:val="0"/>
              <w:widowControl/>
              <w:suppressLineNumbers w:val="0"/>
              <w:jc w:val="left"/>
              <w:textAlignment w:val="center"/>
              <w:rPr>
                <w:rFonts w:hint="eastAsia" w:ascii="宋体" w:hAnsi="宋体" w:eastAsia="宋体" w:cs="宋体"/>
                <w:b w:val="0"/>
                <w:bCs w:val="0"/>
                <w:i w:val="0"/>
                <w:caps w:val="0"/>
                <w:color w:val="auto"/>
                <w:spacing w:val="0"/>
                <w:kern w:val="0"/>
                <w:sz w:val="20"/>
                <w:szCs w:val="20"/>
                <w:shd w:val="clear" w:color="auto" w:fill="FFFFFF"/>
                <w:vertAlign w:val="baseline"/>
                <w:lang w:val="en-US" w:eastAsia="zh-CN" w:bidi="ar"/>
              </w:rPr>
            </w:pPr>
            <w:r>
              <w:rPr>
                <w:rFonts w:hint="eastAsia" w:ascii="宋体" w:hAnsi="宋体" w:eastAsia="宋体" w:cs="宋体"/>
                <w:i w:val="0"/>
                <w:color w:val="auto"/>
                <w:kern w:val="0"/>
                <w:sz w:val="20"/>
                <w:szCs w:val="20"/>
                <w:u w:val="none"/>
                <w:lang w:val="en-US" w:eastAsia="zh-CN" w:bidi="ar"/>
              </w:rPr>
              <w:t>零售商或者供应商违反《零售商供应商公平交易管理办法》规定</w:t>
            </w:r>
          </w:p>
        </w:tc>
        <w:tc>
          <w:tcPr>
            <w:tcW w:w="2550" w:type="dxa"/>
            <w:noWrap w:val="0"/>
            <w:vAlign w:val="center"/>
          </w:tcPr>
          <w:p>
            <w:pPr>
              <w:keepNext w:val="0"/>
              <w:keepLines w:val="0"/>
              <w:widowControl/>
              <w:suppressLineNumbers w:val="0"/>
              <w:jc w:val="left"/>
              <w:textAlignment w:val="center"/>
              <w:rPr>
                <w:rFonts w:hint="eastAsia" w:ascii="宋体" w:hAnsi="宋体" w:eastAsia="宋体" w:cs="宋体"/>
                <w:b w:val="0"/>
                <w:bCs w:val="0"/>
                <w:i w:val="0"/>
                <w:caps w:val="0"/>
                <w:color w:val="auto"/>
                <w:spacing w:val="0"/>
                <w:kern w:val="0"/>
                <w:sz w:val="20"/>
                <w:szCs w:val="20"/>
                <w:shd w:val="clear" w:color="auto" w:fill="FFFFFF"/>
                <w:vertAlign w:val="baseline"/>
                <w:lang w:val="en-US" w:eastAsia="zh-CN" w:bidi="ar"/>
              </w:rPr>
            </w:pPr>
            <w:r>
              <w:rPr>
                <w:rFonts w:hint="eastAsia" w:ascii="宋体" w:hAnsi="宋体" w:eastAsia="宋体" w:cs="宋体"/>
                <w:i w:val="0"/>
                <w:color w:val="auto"/>
                <w:kern w:val="0"/>
                <w:sz w:val="20"/>
                <w:szCs w:val="20"/>
                <w:u w:val="none"/>
                <w:lang w:val="en-US" w:eastAsia="zh-CN" w:bidi="ar"/>
              </w:rPr>
              <w:t>法律法规没有规定，情节轻微，没有违法所得，经责令改正后在规定期限内改正完毕。</w:t>
            </w:r>
          </w:p>
        </w:tc>
        <w:tc>
          <w:tcPr>
            <w:tcW w:w="5850" w:type="dxa"/>
            <w:noWrap w:val="0"/>
            <w:vAlign w:val="center"/>
          </w:tcPr>
          <w:p>
            <w:pPr>
              <w:keepNext w:val="0"/>
              <w:keepLines w:val="0"/>
              <w:widowControl/>
              <w:suppressLineNumbers w:val="0"/>
              <w:ind w:firstLine="400" w:firstLineChars="200"/>
              <w:jc w:val="left"/>
              <w:textAlignment w:val="center"/>
              <w:rPr>
                <w:rFonts w:hint="eastAsia" w:ascii="宋体" w:hAnsi="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1.</w:t>
            </w:r>
            <w:r>
              <w:rPr>
                <w:rFonts w:hint="eastAsia" w:ascii="宋体" w:hAnsi="宋体" w:eastAsia="宋体" w:cs="宋体"/>
                <w:i w:val="0"/>
                <w:color w:val="auto"/>
                <w:kern w:val="0"/>
                <w:sz w:val="20"/>
                <w:szCs w:val="20"/>
                <w:u w:val="none"/>
                <w:lang w:val="en-US" w:eastAsia="zh-CN" w:bidi="ar"/>
              </w:rPr>
              <w:t>《零售商供应商公平交易管理办法》（2006年中华人民共和国商务部、中华人民共和国国家发展和改革委员会、中华人民共和国公安部、国家税务总局、国家工商行政管理总局令第17号）</w:t>
            </w:r>
            <w:r>
              <w:rPr>
                <w:rFonts w:hint="eastAsia" w:ascii="宋体" w:hAnsi="宋体" w:cs="宋体"/>
                <w:i w:val="0"/>
                <w:color w:val="auto"/>
                <w:kern w:val="0"/>
                <w:sz w:val="20"/>
                <w:szCs w:val="20"/>
                <w:u w:val="none"/>
                <w:lang w:val="en-US" w:eastAsia="zh-CN" w:bidi="ar"/>
              </w:rPr>
              <w:t xml:space="preserve">    </w:t>
            </w:r>
          </w:p>
          <w:p>
            <w:pPr>
              <w:keepNext w:val="0"/>
              <w:keepLines w:val="0"/>
              <w:widowControl/>
              <w:suppressLineNumbers w:val="0"/>
              <w:ind w:firstLine="400" w:firstLineChars="200"/>
              <w:jc w:val="left"/>
              <w:textAlignment w:val="center"/>
              <w:rPr>
                <w:rFonts w:hint="eastAsia" w:ascii="宋体" w:hAnsi="宋体" w:eastAsia="宋体" w:cs="宋体"/>
                <w:b w:val="0"/>
                <w:bCs w:val="0"/>
                <w:i w:val="0"/>
                <w:caps w:val="0"/>
                <w:color w:val="auto"/>
                <w:spacing w:val="0"/>
                <w:kern w:val="0"/>
                <w:sz w:val="20"/>
                <w:szCs w:val="20"/>
                <w:shd w:val="clear" w:color="auto" w:fill="FFFFFF"/>
                <w:vertAlign w:val="baseline"/>
                <w:lang w:val="en-US" w:eastAsia="zh-CN" w:bidi="ar"/>
              </w:rPr>
            </w:pPr>
            <w:r>
              <w:rPr>
                <w:rFonts w:hint="eastAsia" w:ascii="宋体" w:hAnsi="宋体" w:eastAsia="宋体" w:cs="宋体"/>
                <w:i w:val="0"/>
                <w:color w:val="auto"/>
                <w:kern w:val="0"/>
                <w:sz w:val="20"/>
                <w:szCs w:val="20"/>
                <w:u w:val="none"/>
                <w:lang w:val="en-US" w:eastAsia="zh-CN" w:bidi="ar"/>
              </w:rPr>
              <w:t>第二十一条：各地商务、价格、税务、工商等部门依照法律法规及本办法，在各自的职责范围内对本办法规定的行为进行监督管理。对涉嫌犯罪的，由公安机关依法予以查处。</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 xml:space="preserve">    县级以上商务主管部门应会同同级有关部门对零售商供应商公平交易行为实行动态监测，进行风险预警，及时采取防范措施。</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 xml:space="preserve">    第二十三条：零售商或者供应商违反本办法规定的，法律法规有规定的，从其规定；没有规定的，责令改正；有违法所得的，可处违法所得三倍以下罚款，但最高不超过三万元；没有违法所得的，可处一万元以下罚款；并可向社会公告。</w:t>
            </w:r>
          </w:p>
        </w:tc>
        <w:tc>
          <w:tcPr>
            <w:tcW w:w="166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i w:val="0"/>
                <w:caps w:val="0"/>
                <w:color w:val="auto"/>
                <w:spacing w:val="0"/>
                <w:kern w:val="0"/>
                <w:sz w:val="20"/>
                <w:szCs w:val="20"/>
                <w:shd w:val="clear" w:color="auto" w:fill="FFFFFF"/>
                <w:vertAlign w:val="baseline"/>
                <w:lang w:val="en-US" w:eastAsia="zh-CN" w:bidi="ar"/>
              </w:rPr>
            </w:pPr>
            <w:r>
              <w:rPr>
                <w:rFonts w:hint="eastAsia" w:ascii="宋体" w:hAnsi="宋体" w:eastAsia="宋体" w:cs="宋体"/>
                <w:b w:val="0"/>
                <w:bCs w:val="0"/>
                <w:i w:val="0"/>
                <w:caps w:val="0"/>
                <w:color w:val="auto"/>
                <w:spacing w:val="0"/>
                <w:kern w:val="0"/>
                <w:sz w:val="20"/>
                <w:szCs w:val="20"/>
                <w:shd w:val="clear" w:color="auto" w:fill="FFFFFF"/>
                <w:vertAlign w:val="baseline"/>
                <w:lang w:val="en-US" w:eastAsia="zh-CN" w:bidi="ar"/>
              </w:rPr>
              <w:t>市场建设管理科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1" w:hRule="atLeast"/>
        </w:trPr>
        <w:tc>
          <w:tcPr>
            <w:tcW w:w="91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i w:val="0"/>
                <w:caps w:val="0"/>
                <w:color w:val="auto"/>
                <w:spacing w:val="0"/>
                <w:kern w:val="0"/>
                <w:sz w:val="20"/>
                <w:szCs w:val="20"/>
                <w:shd w:val="clear" w:color="auto" w:fill="FFFFFF"/>
                <w:vertAlign w:val="baseline"/>
                <w:lang w:val="en-US" w:eastAsia="zh-CN" w:bidi="ar"/>
              </w:rPr>
            </w:pPr>
            <w:r>
              <w:rPr>
                <w:rFonts w:hint="eastAsia" w:ascii="宋体" w:hAnsi="宋体" w:cs="宋体"/>
                <w:b w:val="0"/>
                <w:bCs w:val="0"/>
                <w:i w:val="0"/>
                <w:caps w:val="0"/>
                <w:color w:val="auto"/>
                <w:spacing w:val="0"/>
                <w:kern w:val="0"/>
                <w:sz w:val="20"/>
                <w:szCs w:val="20"/>
                <w:shd w:val="clear" w:color="auto" w:fill="FFFFFF"/>
                <w:vertAlign w:val="baseline"/>
                <w:lang w:val="en-US" w:eastAsia="zh-CN" w:bidi="ar"/>
              </w:rPr>
              <w:t>3</w:t>
            </w:r>
          </w:p>
        </w:tc>
        <w:tc>
          <w:tcPr>
            <w:tcW w:w="1733" w:type="dxa"/>
            <w:noWrap w:val="0"/>
            <w:vAlign w:val="center"/>
          </w:tcPr>
          <w:p>
            <w:pPr>
              <w:keepNext w:val="0"/>
              <w:keepLines w:val="0"/>
              <w:widowControl/>
              <w:suppressLineNumbers w:val="0"/>
              <w:jc w:val="left"/>
              <w:textAlignment w:val="center"/>
              <w:rPr>
                <w:rFonts w:hint="eastAsia" w:ascii="宋体" w:hAnsi="宋体" w:eastAsia="宋体" w:cs="宋体"/>
                <w:b w:val="0"/>
                <w:bCs w:val="0"/>
                <w:i w:val="0"/>
                <w:caps w:val="0"/>
                <w:color w:val="auto"/>
                <w:spacing w:val="0"/>
                <w:kern w:val="0"/>
                <w:sz w:val="20"/>
                <w:szCs w:val="20"/>
                <w:shd w:val="clear" w:color="auto" w:fill="FFFFFF"/>
                <w:vertAlign w:val="baseline"/>
                <w:lang w:val="en-US" w:eastAsia="zh-CN" w:bidi="ar"/>
              </w:rPr>
            </w:pPr>
            <w:r>
              <w:rPr>
                <w:rFonts w:hint="eastAsia" w:ascii="宋体" w:hAnsi="宋体" w:eastAsia="宋体" w:cs="宋体"/>
                <w:i w:val="0"/>
                <w:color w:val="auto"/>
                <w:kern w:val="0"/>
                <w:sz w:val="20"/>
                <w:szCs w:val="20"/>
                <w:u w:val="none"/>
                <w:lang w:val="en-US" w:eastAsia="zh-CN" w:bidi="ar"/>
              </w:rPr>
              <w:t>单用途商业预付卡发卡企业未按规定办理备案</w:t>
            </w:r>
          </w:p>
        </w:tc>
        <w:tc>
          <w:tcPr>
            <w:tcW w:w="2550" w:type="dxa"/>
            <w:noWrap w:val="0"/>
            <w:vAlign w:val="center"/>
          </w:tcPr>
          <w:p>
            <w:pPr>
              <w:keepNext w:val="0"/>
              <w:keepLines w:val="0"/>
              <w:widowControl/>
              <w:suppressLineNumbers w:val="0"/>
              <w:jc w:val="left"/>
              <w:textAlignment w:val="center"/>
              <w:rPr>
                <w:rFonts w:hint="eastAsia" w:ascii="宋体" w:hAnsi="宋体" w:eastAsia="宋体" w:cs="宋体"/>
                <w:b w:val="0"/>
                <w:bCs w:val="0"/>
                <w:i w:val="0"/>
                <w:caps w:val="0"/>
                <w:color w:val="auto"/>
                <w:spacing w:val="0"/>
                <w:kern w:val="0"/>
                <w:sz w:val="20"/>
                <w:szCs w:val="20"/>
                <w:shd w:val="clear" w:color="auto" w:fill="FFFFFF"/>
                <w:vertAlign w:val="baseline"/>
                <w:lang w:val="en-US" w:eastAsia="zh-CN" w:bidi="ar"/>
              </w:rPr>
            </w:pPr>
            <w:r>
              <w:rPr>
                <w:rFonts w:hint="eastAsia" w:ascii="宋体" w:hAnsi="宋体" w:eastAsia="宋体" w:cs="宋体"/>
                <w:i w:val="0"/>
                <w:color w:val="auto"/>
                <w:kern w:val="0"/>
                <w:sz w:val="20"/>
                <w:szCs w:val="20"/>
                <w:u w:val="none"/>
                <w:lang w:val="en-US" w:eastAsia="zh-CN" w:bidi="ar"/>
              </w:rPr>
              <w:t>经责令改正后在规定期限内改正完毕</w:t>
            </w:r>
            <w:r>
              <w:rPr>
                <w:rFonts w:hint="eastAsia" w:ascii="宋体" w:hAnsi="宋体" w:cs="宋体"/>
                <w:i w:val="0"/>
                <w:color w:val="auto"/>
                <w:kern w:val="0"/>
                <w:sz w:val="20"/>
                <w:szCs w:val="20"/>
                <w:u w:val="none"/>
                <w:lang w:val="en-US" w:eastAsia="zh-CN" w:bidi="ar"/>
              </w:rPr>
              <w:t>。</w:t>
            </w:r>
          </w:p>
        </w:tc>
        <w:tc>
          <w:tcPr>
            <w:tcW w:w="5850" w:type="dxa"/>
            <w:noWrap w:val="0"/>
            <w:vAlign w:val="center"/>
          </w:tcPr>
          <w:p>
            <w:pPr>
              <w:keepNext w:val="0"/>
              <w:keepLines w:val="0"/>
              <w:widowControl/>
              <w:numPr>
                <w:ilvl w:val="0"/>
                <w:numId w:val="0"/>
              </w:numPr>
              <w:suppressLineNumbers w:val="0"/>
              <w:ind w:firstLine="400" w:firstLineChars="200"/>
              <w:jc w:val="both"/>
              <w:textAlignment w:val="top"/>
              <w:rPr>
                <w:rFonts w:hint="eastAsia"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1.</w:t>
            </w:r>
            <w:r>
              <w:rPr>
                <w:rFonts w:hint="eastAsia" w:ascii="宋体" w:hAnsi="宋体" w:eastAsia="宋体" w:cs="宋体"/>
                <w:i w:val="0"/>
                <w:color w:val="auto"/>
                <w:kern w:val="0"/>
                <w:sz w:val="20"/>
                <w:szCs w:val="20"/>
                <w:u w:val="none"/>
                <w:lang w:val="en-US" w:eastAsia="zh-CN" w:bidi="ar"/>
              </w:rPr>
              <w:t>《单用途商业预付卡管理办法（试行）》（2012年商务部令第9号）第七条：发卡企业应在开展单用途卡业务之日起30日内按照下列规定办理备案：</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cs="宋体"/>
                <w:i w:val="0"/>
                <w:color w:val="auto"/>
                <w:kern w:val="0"/>
                <w:sz w:val="20"/>
                <w:szCs w:val="20"/>
                <w:u w:val="none"/>
                <w:lang w:val="en-US" w:eastAsia="zh-CN" w:bidi="ar"/>
              </w:rPr>
              <w:t xml:space="preserve">    </w:t>
            </w:r>
            <w:r>
              <w:rPr>
                <w:rFonts w:hint="eastAsia" w:ascii="宋体" w:hAnsi="宋体" w:eastAsia="宋体" w:cs="宋体"/>
                <w:i w:val="0"/>
                <w:color w:val="auto"/>
                <w:kern w:val="0"/>
                <w:sz w:val="20"/>
                <w:szCs w:val="20"/>
                <w:u w:val="none"/>
                <w:lang w:val="en-US" w:eastAsia="zh-CN" w:bidi="ar"/>
              </w:rPr>
              <w:t>（一）集团发卡企业和品牌发卡企业向其工商登记注册地省、自治区、直辖市人民政府商务主管部门备案；</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 xml:space="preserve">    （二）规模发卡企业向其工商登记注册地设区的市人民政府商务主管部门备案；</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 xml:space="preserve">    （三）其他发卡企业向其工商登记注册地县（市、区）人民政府商务主管部门备案。</w:t>
            </w:r>
          </w:p>
          <w:p>
            <w:pPr>
              <w:keepNext w:val="0"/>
              <w:keepLines w:val="0"/>
              <w:widowControl/>
              <w:numPr>
                <w:ilvl w:val="0"/>
                <w:numId w:val="0"/>
              </w:numPr>
              <w:suppressLineNumbers w:val="0"/>
              <w:ind w:firstLine="400" w:firstLineChars="200"/>
              <w:jc w:val="both"/>
              <w:textAlignment w:val="top"/>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w:t>
            </w:r>
            <w:r>
              <w:rPr>
                <w:rFonts w:hint="eastAsia" w:ascii="宋体" w:hAnsi="宋体" w:cs="宋体"/>
                <w:i w:val="0"/>
                <w:color w:val="auto"/>
                <w:kern w:val="0"/>
                <w:sz w:val="20"/>
                <w:szCs w:val="20"/>
                <w:u w:val="none"/>
                <w:lang w:val="en-US" w:eastAsia="zh-CN" w:bidi="ar"/>
              </w:rPr>
              <w:t>.</w:t>
            </w:r>
            <w:r>
              <w:rPr>
                <w:rFonts w:hint="eastAsia" w:ascii="宋体" w:hAnsi="宋体" w:eastAsia="宋体" w:cs="宋体"/>
                <w:i w:val="0"/>
                <w:color w:val="auto"/>
                <w:kern w:val="0"/>
                <w:sz w:val="20"/>
                <w:szCs w:val="20"/>
                <w:u w:val="none"/>
                <w:lang w:val="en-US" w:eastAsia="zh-CN" w:bidi="ar"/>
              </w:rPr>
              <w:t>《单用途商业预付卡管理办法（试行）》（2012年商务部令第9号）</w:t>
            </w:r>
          </w:p>
          <w:p>
            <w:pPr>
              <w:keepNext w:val="0"/>
              <w:keepLines w:val="0"/>
              <w:widowControl/>
              <w:numPr>
                <w:ilvl w:val="0"/>
                <w:numId w:val="0"/>
              </w:numPr>
              <w:suppressLineNumbers w:val="0"/>
              <w:ind w:firstLine="400" w:firstLineChars="200"/>
              <w:jc w:val="both"/>
              <w:textAlignment w:val="top"/>
              <w:rPr>
                <w:rFonts w:hint="eastAsia" w:ascii="宋体" w:hAnsi="宋体" w:eastAsia="宋体" w:cs="宋体"/>
                <w:b w:val="0"/>
                <w:bCs w:val="0"/>
                <w:i w:val="0"/>
                <w:caps w:val="0"/>
                <w:color w:val="auto"/>
                <w:spacing w:val="0"/>
                <w:kern w:val="0"/>
                <w:sz w:val="20"/>
                <w:szCs w:val="20"/>
                <w:shd w:val="clear" w:color="auto" w:fill="FFFFFF"/>
                <w:vertAlign w:val="baseline"/>
                <w:lang w:val="en-US" w:eastAsia="zh-CN" w:bidi="ar"/>
              </w:rPr>
            </w:pPr>
            <w:r>
              <w:rPr>
                <w:rFonts w:hint="eastAsia" w:ascii="宋体" w:hAnsi="宋体" w:eastAsia="宋体" w:cs="宋体"/>
                <w:i w:val="0"/>
                <w:color w:val="auto"/>
                <w:kern w:val="0"/>
                <w:sz w:val="20"/>
                <w:szCs w:val="20"/>
                <w:u w:val="none"/>
                <w:lang w:val="en-US" w:eastAsia="zh-CN" w:bidi="ar"/>
              </w:rPr>
              <w:t>第三十六条：发卡企业违反本办法第七条规定的，由违法行为发生地县级以上地方人民政府商务主管部门责令限期改正；逾期仍不改正的，处以１万元以上３万元以下罚款。</w:t>
            </w:r>
          </w:p>
        </w:tc>
        <w:tc>
          <w:tcPr>
            <w:tcW w:w="166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i w:val="0"/>
                <w:caps w:val="0"/>
                <w:color w:val="auto"/>
                <w:spacing w:val="0"/>
                <w:kern w:val="0"/>
                <w:sz w:val="20"/>
                <w:szCs w:val="20"/>
                <w:shd w:val="clear" w:color="auto" w:fill="FFFFFF"/>
                <w:vertAlign w:val="baseline"/>
                <w:lang w:val="en-US" w:eastAsia="zh-CN" w:bidi="ar"/>
              </w:rPr>
            </w:pPr>
            <w:r>
              <w:rPr>
                <w:rFonts w:hint="eastAsia" w:ascii="宋体" w:hAnsi="宋体" w:eastAsia="宋体" w:cs="宋体"/>
                <w:b w:val="0"/>
                <w:bCs w:val="0"/>
                <w:i w:val="0"/>
                <w:caps w:val="0"/>
                <w:color w:val="auto"/>
                <w:spacing w:val="0"/>
                <w:kern w:val="0"/>
                <w:sz w:val="20"/>
                <w:szCs w:val="20"/>
                <w:shd w:val="clear" w:color="auto" w:fill="FFFFFF"/>
                <w:vertAlign w:val="baseline"/>
                <w:lang w:val="en-US" w:eastAsia="zh-CN" w:bidi="ar"/>
              </w:rPr>
              <w:t>市场建设管理科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6" w:hRule="atLeast"/>
        </w:trPr>
        <w:tc>
          <w:tcPr>
            <w:tcW w:w="91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i w:val="0"/>
                <w:caps w:val="0"/>
                <w:color w:val="auto"/>
                <w:spacing w:val="0"/>
                <w:kern w:val="0"/>
                <w:sz w:val="20"/>
                <w:szCs w:val="20"/>
                <w:shd w:val="clear" w:color="auto" w:fill="FFFFFF"/>
                <w:vertAlign w:val="baseline"/>
                <w:lang w:val="en-US" w:eastAsia="zh-CN" w:bidi="ar"/>
              </w:rPr>
            </w:pPr>
            <w:r>
              <w:rPr>
                <w:rFonts w:hint="eastAsia" w:ascii="宋体" w:hAnsi="宋体" w:cs="宋体"/>
                <w:b w:val="0"/>
                <w:bCs w:val="0"/>
                <w:i w:val="0"/>
                <w:caps w:val="0"/>
                <w:color w:val="auto"/>
                <w:spacing w:val="0"/>
                <w:kern w:val="0"/>
                <w:sz w:val="20"/>
                <w:szCs w:val="20"/>
                <w:shd w:val="clear" w:color="auto" w:fill="FFFFFF"/>
                <w:vertAlign w:val="baseline"/>
                <w:lang w:val="en-US" w:eastAsia="zh-CN" w:bidi="ar"/>
              </w:rPr>
              <w:t>4</w:t>
            </w:r>
          </w:p>
        </w:tc>
        <w:tc>
          <w:tcPr>
            <w:tcW w:w="1733" w:type="dxa"/>
            <w:noWrap w:val="0"/>
            <w:vAlign w:val="center"/>
          </w:tcPr>
          <w:p>
            <w:pPr>
              <w:keepNext w:val="0"/>
              <w:keepLines w:val="0"/>
              <w:widowControl/>
              <w:suppressLineNumbers w:val="0"/>
              <w:jc w:val="left"/>
              <w:textAlignment w:val="center"/>
              <w:rPr>
                <w:rFonts w:hint="eastAsia" w:ascii="宋体" w:hAnsi="宋体" w:eastAsia="宋体" w:cs="宋体"/>
                <w:b w:val="0"/>
                <w:bCs w:val="0"/>
                <w:i w:val="0"/>
                <w:caps w:val="0"/>
                <w:color w:val="auto"/>
                <w:spacing w:val="0"/>
                <w:kern w:val="0"/>
                <w:sz w:val="20"/>
                <w:szCs w:val="20"/>
                <w:shd w:val="clear" w:color="auto" w:fill="FFFFFF"/>
                <w:vertAlign w:val="baseline"/>
                <w:lang w:val="en-US" w:eastAsia="zh-CN" w:bidi="ar"/>
              </w:rPr>
            </w:pPr>
            <w:r>
              <w:rPr>
                <w:rFonts w:hint="eastAsia" w:ascii="宋体" w:hAnsi="宋体" w:eastAsia="宋体" w:cs="宋体"/>
                <w:i w:val="0"/>
                <w:color w:val="auto"/>
                <w:kern w:val="0"/>
                <w:sz w:val="20"/>
                <w:szCs w:val="20"/>
                <w:u w:val="none"/>
                <w:lang w:val="en-US" w:eastAsia="zh-CN" w:bidi="ar"/>
              </w:rPr>
              <w:t>单用途商业预付卡发卡或售卡企业未按规定发卡或提供服务</w:t>
            </w:r>
          </w:p>
        </w:tc>
        <w:tc>
          <w:tcPr>
            <w:tcW w:w="2550" w:type="dxa"/>
            <w:noWrap w:val="0"/>
            <w:vAlign w:val="center"/>
          </w:tcPr>
          <w:p>
            <w:pPr>
              <w:keepNext w:val="0"/>
              <w:keepLines w:val="0"/>
              <w:widowControl/>
              <w:suppressLineNumbers w:val="0"/>
              <w:jc w:val="left"/>
              <w:textAlignment w:val="center"/>
              <w:rPr>
                <w:rFonts w:hint="eastAsia" w:ascii="宋体" w:hAnsi="宋体" w:eastAsia="宋体" w:cs="宋体"/>
                <w:b w:val="0"/>
                <w:bCs w:val="0"/>
                <w:i w:val="0"/>
                <w:caps w:val="0"/>
                <w:color w:val="auto"/>
                <w:spacing w:val="0"/>
                <w:kern w:val="0"/>
                <w:sz w:val="20"/>
                <w:szCs w:val="20"/>
                <w:shd w:val="clear" w:color="auto" w:fill="FFFFFF"/>
                <w:vertAlign w:val="baseline"/>
                <w:lang w:val="en-US" w:eastAsia="zh-CN" w:bidi="ar"/>
              </w:rPr>
            </w:pPr>
            <w:r>
              <w:rPr>
                <w:rFonts w:hint="eastAsia" w:ascii="宋体" w:hAnsi="宋体" w:eastAsia="宋体" w:cs="宋体"/>
                <w:i w:val="0"/>
                <w:color w:val="auto"/>
                <w:kern w:val="0"/>
                <w:sz w:val="20"/>
                <w:szCs w:val="20"/>
                <w:u w:val="none"/>
                <w:lang w:val="en-US" w:eastAsia="zh-CN" w:bidi="ar"/>
              </w:rPr>
              <w:t>经责令改正后在规定期限内改正完毕</w:t>
            </w:r>
            <w:r>
              <w:rPr>
                <w:rFonts w:hint="eastAsia" w:ascii="宋体" w:hAnsi="宋体" w:cs="宋体"/>
                <w:i w:val="0"/>
                <w:color w:val="auto"/>
                <w:kern w:val="0"/>
                <w:sz w:val="20"/>
                <w:szCs w:val="20"/>
                <w:u w:val="none"/>
                <w:lang w:val="en-US" w:eastAsia="zh-CN" w:bidi="ar"/>
              </w:rPr>
              <w:t>。</w:t>
            </w:r>
          </w:p>
        </w:tc>
        <w:tc>
          <w:tcPr>
            <w:tcW w:w="5850" w:type="dxa"/>
            <w:noWrap w:val="0"/>
            <w:vAlign w:val="center"/>
          </w:tcPr>
          <w:p>
            <w:pPr>
              <w:keepNext w:val="0"/>
              <w:keepLines w:val="0"/>
              <w:widowControl/>
              <w:suppressLineNumbers w:val="0"/>
              <w:jc w:val="left"/>
              <w:textAlignment w:val="top"/>
              <w:rPr>
                <w:rFonts w:hint="eastAsia"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 xml:space="preserve">    </w:t>
            </w:r>
            <w:r>
              <w:rPr>
                <w:rFonts w:hint="eastAsia" w:ascii="宋体" w:hAnsi="宋体" w:eastAsia="宋体" w:cs="宋体"/>
                <w:i w:val="0"/>
                <w:color w:val="auto"/>
                <w:kern w:val="0"/>
                <w:sz w:val="20"/>
                <w:szCs w:val="20"/>
                <w:u w:val="none"/>
                <w:lang w:val="en-US" w:eastAsia="zh-CN" w:bidi="ar"/>
              </w:rPr>
              <w:t>《单用途商业预付卡管理办法（试行）》（2012年商务部令第9号）</w:t>
            </w:r>
          </w:p>
          <w:p>
            <w:pPr>
              <w:keepNext w:val="0"/>
              <w:keepLines w:val="0"/>
              <w:widowControl/>
              <w:suppressLineNumbers w:val="0"/>
              <w:ind w:firstLine="400" w:firstLineChars="200"/>
              <w:jc w:val="left"/>
              <w:textAlignment w:val="top"/>
              <w:rPr>
                <w:rFonts w:hint="eastAsia" w:ascii="宋体" w:hAnsi="宋体" w:eastAsia="宋体" w:cs="宋体"/>
                <w:b w:val="0"/>
                <w:bCs w:val="0"/>
                <w:i w:val="0"/>
                <w:caps w:val="0"/>
                <w:color w:val="auto"/>
                <w:spacing w:val="0"/>
                <w:kern w:val="0"/>
                <w:sz w:val="20"/>
                <w:szCs w:val="20"/>
                <w:shd w:val="clear" w:color="auto" w:fill="FFFFFF"/>
                <w:vertAlign w:val="baseline"/>
                <w:lang w:val="en-US" w:eastAsia="zh-CN" w:bidi="ar"/>
              </w:rPr>
            </w:pPr>
            <w:r>
              <w:rPr>
                <w:rFonts w:hint="eastAsia" w:ascii="宋体" w:hAnsi="宋体" w:eastAsia="宋体" w:cs="宋体"/>
                <w:i w:val="0"/>
                <w:color w:val="auto"/>
                <w:kern w:val="0"/>
                <w:sz w:val="20"/>
                <w:szCs w:val="20"/>
                <w:u w:val="none"/>
                <w:lang w:val="en-US" w:eastAsia="zh-CN" w:bidi="ar"/>
              </w:rPr>
              <w:t>第三十七条第一款：发卡企业或售卡企业违反本办法第十四条至第二十二条规定的，由违法行为发生地县级以上地方人民政府商务主管部门责令限期改正；逾期仍不改正的，处以１万元以上３万元以下罚款。</w:t>
            </w:r>
          </w:p>
        </w:tc>
        <w:tc>
          <w:tcPr>
            <w:tcW w:w="166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i w:val="0"/>
                <w:caps w:val="0"/>
                <w:color w:val="auto"/>
                <w:spacing w:val="0"/>
                <w:kern w:val="0"/>
                <w:sz w:val="20"/>
                <w:szCs w:val="20"/>
                <w:shd w:val="clear" w:color="auto" w:fill="FFFFFF"/>
                <w:vertAlign w:val="baseline"/>
                <w:lang w:val="en-US" w:eastAsia="zh-CN" w:bidi="ar"/>
              </w:rPr>
            </w:pPr>
            <w:r>
              <w:rPr>
                <w:rFonts w:hint="eastAsia" w:ascii="宋体" w:hAnsi="宋体" w:eastAsia="宋体" w:cs="宋体"/>
                <w:b w:val="0"/>
                <w:bCs w:val="0"/>
                <w:i w:val="0"/>
                <w:caps w:val="0"/>
                <w:color w:val="auto"/>
                <w:spacing w:val="0"/>
                <w:kern w:val="0"/>
                <w:sz w:val="20"/>
                <w:szCs w:val="20"/>
                <w:shd w:val="clear" w:color="auto" w:fill="FFFFFF"/>
                <w:vertAlign w:val="baseline"/>
                <w:lang w:val="en-US" w:eastAsia="zh-CN" w:bidi="ar"/>
              </w:rPr>
              <w:t>市场建设管理科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i w:val="0"/>
                <w:caps w:val="0"/>
                <w:color w:val="auto"/>
                <w:spacing w:val="0"/>
                <w:kern w:val="0"/>
                <w:sz w:val="20"/>
                <w:szCs w:val="20"/>
                <w:shd w:val="clear" w:color="auto" w:fill="FFFFFF"/>
                <w:vertAlign w:val="baseline"/>
                <w:lang w:val="en-US" w:eastAsia="zh-CN" w:bidi="ar"/>
              </w:rPr>
            </w:pPr>
            <w:r>
              <w:rPr>
                <w:rFonts w:hint="eastAsia" w:ascii="宋体" w:hAnsi="宋体" w:cs="宋体"/>
                <w:b w:val="0"/>
                <w:bCs w:val="0"/>
                <w:i w:val="0"/>
                <w:caps w:val="0"/>
                <w:color w:val="auto"/>
                <w:spacing w:val="0"/>
                <w:kern w:val="0"/>
                <w:sz w:val="20"/>
                <w:szCs w:val="20"/>
                <w:shd w:val="clear" w:color="auto" w:fill="FFFFFF"/>
                <w:vertAlign w:val="baseline"/>
                <w:lang w:val="en-US" w:eastAsia="zh-CN" w:bidi="ar"/>
              </w:rPr>
              <w:t>5</w:t>
            </w:r>
          </w:p>
        </w:tc>
        <w:tc>
          <w:tcPr>
            <w:tcW w:w="1733" w:type="dxa"/>
            <w:noWrap w:val="0"/>
            <w:vAlign w:val="center"/>
          </w:tcPr>
          <w:p>
            <w:pPr>
              <w:keepNext w:val="0"/>
              <w:keepLines w:val="0"/>
              <w:widowControl/>
              <w:suppressLineNumbers w:val="0"/>
              <w:jc w:val="left"/>
              <w:textAlignment w:val="center"/>
              <w:rPr>
                <w:rFonts w:hint="eastAsia" w:ascii="宋体" w:hAnsi="宋体" w:eastAsia="宋体" w:cs="宋体"/>
                <w:b w:val="0"/>
                <w:bCs w:val="0"/>
                <w:i w:val="0"/>
                <w:caps w:val="0"/>
                <w:color w:val="auto"/>
                <w:spacing w:val="0"/>
                <w:kern w:val="0"/>
                <w:sz w:val="20"/>
                <w:szCs w:val="20"/>
                <w:shd w:val="clear" w:color="auto" w:fill="FFFFFF"/>
                <w:vertAlign w:val="baseline"/>
                <w:lang w:val="en-US" w:eastAsia="zh-CN" w:bidi="ar"/>
              </w:rPr>
            </w:pPr>
            <w:r>
              <w:rPr>
                <w:rFonts w:hint="eastAsia" w:ascii="宋体" w:hAnsi="宋体" w:eastAsia="宋体" w:cs="宋体"/>
                <w:i w:val="0"/>
                <w:color w:val="auto"/>
                <w:kern w:val="0"/>
                <w:sz w:val="20"/>
                <w:szCs w:val="20"/>
                <w:u w:val="none"/>
                <w:lang w:val="en-US" w:eastAsia="zh-CN" w:bidi="ar"/>
              </w:rPr>
              <w:t>单用途商业预付卡发卡企业预收资金管理及信息填报违规</w:t>
            </w:r>
          </w:p>
        </w:tc>
        <w:tc>
          <w:tcPr>
            <w:tcW w:w="2550" w:type="dxa"/>
            <w:noWrap w:val="0"/>
            <w:vAlign w:val="center"/>
          </w:tcPr>
          <w:p>
            <w:pPr>
              <w:keepNext w:val="0"/>
              <w:keepLines w:val="0"/>
              <w:widowControl/>
              <w:suppressLineNumbers w:val="0"/>
              <w:jc w:val="left"/>
              <w:textAlignment w:val="center"/>
              <w:rPr>
                <w:rFonts w:hint="eastAsia" w:ascii="宋体" w:hAnsi="宋体" w:eastAsia="宋体" w:cs="宋体"/>
                <w:b w:val="0"/>
                <w:bCs w:val="0"/>
                <w:i w:val="0"/>
                <w:caps w:val="0"/>
                <w:color w:val="auto"/>
                <w:spacing w:val="0"/>
                <w:kern w:val="0"/>
                <w:sz w:val="20"/>
                <w:szCs w:val="20"/>
                <w:shd w:val="clear" w:color="auto" w:fill="FFFFFF"/>
                <w:vertAlign w:val="baseline"/>
                <w:lang w:val="en-US" w:eastAsia="zh-CN" w:bidi="ar"/>
              </w:rPr>
            </w:pPr>
            <w:r>
              <w:rPr>
                <w:rFonts w:hint="eastAsia" w:ascii="宋体" w:hAnsi="宋体" w:eastAsia="宋体" w:cs="宋体"/>
                <w:i w:val="0"/>
                <w:color w:val="auto"/>
                <w:kern w:val="0"/>
                <w:sz w:val="20"/>
                <w:szCs w:val="20"/>
                <w:u w:val="none"/>
                <w:lang w:val="en-US" w:eastAsia="zh-CN" w:bidi="ar"/>
              </w:rPr>
              <w:t>经责令改正后在规定期限内改正完毕</w:t>
            </w:r>
            <w:r>
              <w:rPr>
                <w:rFonts w:hint="eastAsia" w:ascii="宋体" w:hAnsi="宋体" w:cs="宋体"/>
                <w:i w:val="0"/>
                <w:color w:val="auto"/>
                <w:kern w:val="0"/>
                <w:sz w:val="20"/>
                <w:szCs w:val="20"/>
                <w:u w:val="none"/>
                <w:lang w:val="en-US" w:eastAsia="zh-CN" w:bidi="ar"/>
              </w:rPr>
              <w:t>。</w:t>
            </w:r>
          </w:p>
        </w:tc>
        <w:tc>
          <w:tcPr>
            <w:tcW w:w="5850" w:type="dxa"/>
            <w:noWrap w:val="0"/>
            <w:vAlign w:val="top"/>
          </w:tcPr>
          <w:p>
            <w:pPr>
              <w:keepNext w:val="0"/>
              <w:keepLines w:val="0"/>
              <w:widowControl/>
              <w:suppressLineNumbers w:val="0"/>
              <w:ind w:firstLine="360" w:firstLineChars="200"/>
              <w:jc w:val="left"/>
              <w:textAlignment w:val="top"/>
              <w:rPr>
                <w:rFonts w:hint="eastAsia" w:ascii="宋体" w:hAnsi="宋体" w:eastAsia="宋体" w:cs="宋体"/>
                <w:b w:val="0"/>
                <w:bCs w:val="0"/>
                <w:i w:val="0"/>
                <w:caps w:val="0"/>
                <w:color w:val="auto"/>
                <w:spacing w:val="0"/>
                <w:kern w:val="0"/>
                <w:sz w:val="20"/>
                <w:szCs w:val="20"/>
                <w:shd w:val="clear" w:color="auto" w:fill="FFFFFF"/>
                <w:vertAlign w:val="baseline"/>
                <w:lang w:val="en-US" w:eastAsia="zh-CN" w:bidi="ar"/>
              </w:rPr>
            </w:pPr>
            <w:r>
              <w:rPr>
                <w:rFonts w:hint="eastAsia" w:ascii="宋体" w:hAnsi="宋体" w:cs="宋体"/>
                <w:i w:val="0"/>
                <w:color w:val="auto"/>
                <w:kern w:val="0"/>
                <w:sz w:val="18"/>
                <w:szCs w:val="18"/>
                <w:u w:val="none"/>
                <w:lang w:val="en-US" w:eastAsia="zh-CN" w:bidi="ar"/>
              </w:rPr>
              <w:t>1.</w:t>
            </w:r>
            <w:r>
              <w:rPr>
                <w:rFonts w:hint="eastAsia" w:ascii="宋体" w:hAnsi="宋体" w:eastAsia="宋体" w:cs="宋体"/>
                <w:i w:val="0"/>
                <w:color w:val="auto"/>
                <w:kern w:val="0"/>
                <w:sz w:val="18"/>
                <w:szCs w:val="18"/>
                <w:u w:val="none"/>
                <w:lang w:val="en-US" w:eastAsia="zh-CN" w:bidi="ar"/>
              </w:rPr>
              <w:t>《单用途商业预付卡管理办法（试行）》（2012年商务部令第9号）第二十四条：发卡企业应对预收资金进行严格管理。预收资金只能用于发卡企业主营业务，不得用于不动产、股权、证券等投资及借贷。第二十五条：主营业务为零售业、住宿和餐饮业的发卡企业，预收资金余额不得超过其上一会计年度主营业务收入的４０％；主营业务为居民服务业的发卡企业的预收资金余额不得超过其上一会计年度主营业务收入；工商注册登记不足一年的发卡企业的预收资金余额不得超过其注册资本的２倍。集团发卡企业预收资金余额不得超过其上一会计年度本集团营业收入的３０％。本办法所称预收资金是指发卡企业通过发行单用途卡所预收的资金总额，预收资金余额是指预收资金扣减已兑付商品或服务价款后的余额。第二十六条：规模发卡企业、集团发卡企业和品牌发卡企业实行资金存管制度。规模发卡企业存管资金比例不低于上一季度预收资金余额的２０％；集团发卡企业存管资金比例不低于上一季度预收资金余额的３０％；品牌发卡企业存管资金比例不低于上一季度预收资金余额的４０％。第二十七条：规模发卡企业、集团发卡企业和品牌发卡企业应确定一个商业银行账户作为资金存管账户，并与存管银行签订资金存管协议。资金存管协议应规定存管银行对发卡企业资金存管比例进行监督，对超额调用存管资金的指令予以拒绝，并按照备案机关要求提供发卡企业资金存缴情况。第三十一条：规模发卡企业应于每季度结束后１５个工作日内，集团发卡企业和品牌发卡企业应于每季度结束后２０个工作日内登录商务部“单用途商业预付卡业务信息系统”，填报上一季度单用途卡业务情况。其他发卡企业应于每年１月３１日前填报《发卡企业单用途卡业务报告表》（格式见附件３）。 发卡企业填报的信息应当准确、真实、完整，不得故意隐瞒或虚报。第三十七条第二款： 发卡企业违反本办法第二十四条至第二十七条、第三十一条规定的，由备案机关责令限期改正；逾期仍不改正的，处以１万元以上３万元以下罚款。</w:t>
            </w:r>
          </w:p>
        </w:tc>
        <w:tc>
          <w:tcPr>
            <w:tcW w:w="166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i w:val="0"/>
                <w:caps w:val="0"/>
                <w:color w:val="auto"/>
                <w:spacing w:val="0"/>
                <w:kern w:val="0"/>
                <w:sz w:val="20"/>
                <w:szCs w:val="20"/>
                <w:shd w:val="clear" w:color="auto" w:fill="FFFFFF"/>
                <w:vertAlign w:val="baseline"/>
                <w:lang w:val="en-US" w:eastAsia="zh-CN" w:bidi="ar"/>
              </w:rPr>
            </w:pPr>
            <w:r>
              <w:rPr>
                <w:rFonts w:hint="eastAsia" w:ascii="宋体" w:hAnsi="宋体" w:eastAsia="宋体" w:cs="宋体"/>
                <w:b w:val="0"/>
                <w:bCs w:val="0"/>
                <w:i w:val="0"/>
                <w:caps w:val="0"/>
                <w:color w:val="auto"/>
                <w:spacing w:val="0"/>
                <w:kern w:val="0"/>
                <w:sz w:val="20"/>
                <w:szCs w:val="20"/>
                <w:shd w:val="clear" w:color="auto" w:fill="FFFFFF"/>
                <w:vertAlign w:val="baseline"/>
                <w:lang w:val="en-US" w:eastAsia="zh-CN" w:bidi="ar"/>
              </w:rPr>
              <w:t>市场建设管理科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2" w:hRule="atLeast"/>
        </w:trPr>
        <w:tc>
          <w:tcPr>
            <w:tcW w:w="91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val="0"/>
                <w:bCs w:val="0"/>
                <w:i w:val="0"/>
                <w:caps w:val="0"/>
                <w:color w:val="auto"/>
                <w:spacing w:val="0"/>
                <w:kern w:val="0"/>
                <w:sz w:val="20"/>
                <w:szCs w:val="20"/>
                <w:shd w:val="clear" w:color="auto" w:fill="FFFFFF"/>
                <w:vertAlign w:val="baseline"/>
                <w:lang w:val="en-US" w:eastAsia="zh-CN" w:bidi="ar"/>
              </w:rPr>
            </w:pPr>
            <w:r>
              <w:rPr>
                <w:rFonts w:hint="eastAsia" w:ascii="宋体" w:hAnsi="宋体" w:cs="宋体"/>
                <w:b w:val="0"/>
                <w:bCs w:val="0"/>
                <w:i w:val="0"/>
                <w:caps w:val="0"/>
                <w:color w:val="auto"/>
                <w:spacing w:val="0"/>
                <w:kern w:val="0"/>
                <w:sz w:val="20"/>
                <w:szCs w:val="20"/>
                <w:shd w:val="clear" w:color="auto" w:fill="FFFFFF"/>
                <w:vertAlign w:val="baseline"/>
                <w:lang w:val="en-US" w:eastAsia="zh-CN" w:bidi="ar"/>
              </w:rPr>
              <w:t>6</w:t>
            </w:r>
          </w:p>
        </w:tc>
        <w:tc>
          <w:tcPr>
            <w:tcW w:w="1733" w:type="dxa"/>
            <w:noWrap w:val="0"/>
            <w:vAlign w:val="center"/>
          </w:tcPr>
          <w:p>
            <w:pPr>
              <w:keepNext w:val="0"/>
              <w:keepLines w:val="0"/>
              <w:widowControl/>
              <w:suppressLineNumbers w:val="0"/>
              <w:jc w:val="left"/>
              <w:textAlignment w:val="center"/>
              <w:rPr>
                <w:rFonts w:hint="eastAsia" w:ascii="宋体" w:hAnsi="宋体" w:eastAsia="宋体" w:cs="宋体"/>
                <w:b w:val="0"/>
                <w:bCs w:val="0"/>
                <w:i w:val="0"/>
                <w:caps w:val="0"/>
                <w:color w:val="auto"/>
                <w:spacing w:val="0"/>
                <w:kern w:val="0"/>
                <w:sz w:val="20"/>
                <w:szCs w:val="20"/>
                <w:shd w:val="clear" w:color="auto" w:fill="FFFFFF"/>
                <w:vertAlign w:val="baseline"/>
                <w:lang w:val="en-US" w:eastAsia="zh-CN" w:bidi="ar"/>
              </w:rPr>
            </w:pPr>
            <w:r>
              <w:rPr>
                <w:rFonts w:hint="eastAsia" w:ascii="宋体" w:hAnsi="宋体" w:eastAsia="宋体" w:cs="宋体"/>
                <w:i w:val="0"/>
                <w:color w:val="auto"/>
                <w:kern w:val="0"/>
                <w:sz w:val="20"/>
                <w:szCs w:val="20"/>
                <w:u w:val="none"/>
                <w:lang w:val="en-US" w:eastAsia="zh-CN" w:bidi="ar"/>
              </w:rPr>
              <w:t>对外劳务合作企业违反备用金管理制度</w:t>
            </w:r>
          </w:p>
        </w:tc>
        <w:tc>
          <w:tcPr>
            <w:tcW w:w="2550" w:type="dxa"/>
            <w:noWrap w:val="0"/>
            <w:vAlign w:val="center"/>
          </w:tcPr>
          <w:p>
            <w:pPr>
              <w:keepNext w:val="0"/>
              <w:keepLines w:val="0"/>
              <w:widowControl/>
              <w:suppressLineNumbers w:val="0"/>
              <w:jc w:val="left"/>
              <w:textAlignment w:val="center"/>
              <w:rPr>
                <w:rFonts w:hint="eastAsia" w:ascii="宋体" w:hAnsi="宋体" w:eastAsia="宋体" w:cs="宋体"/>
                <w:b w:val="0"/>
                <w:bCs w:val="0"/>
                <w:i w:val="0"/>
                <w:caps w:val="0"/>
                <w:color w:val="auto"/>
                <w:spacing w:val="0"/>
                <w:kern w:val="0"/>
                <w:sz w:val="20"/>
                <w:szCs w:val="20"/>
                <w:shd w:val="clear" w:color="auto" w:fill="FFFFFF"/>
                <w:vertAlign w:val="baseline"/>
                <w:lang w:val="en-US" w:eastAsia="zh-CN" w:bidi="ar"/>
              </w:rPr>
            </w:pPr>
            <w:r>
              <w:rPr>
                <w:rFonts w:hint="eastAsia" w:ascii="宋体" w:hAnsi="宋体" w:eastAsia="宋体" w:cs="宋体"/>
                <w:i w:val="0"/>
                <w:color w:val="auto"/>
                <w:kern w:val="0"/>
                <w:sz w:val="20"/>
                <w:szCs w:val="20"/>
                <w:u w:val="none"/>
                <w:lang w:val="en-US" w:eastAsia="zh-CN" w:bidi="ar"/>
              </w:rPr>
              <w:t>经责令改正后在30个工作日内缴存或者补足对外劳务风险处置备用金的。</w:t>
            </w:r>
          </w:p>
        </w:tc>
        <w:tc>
          <w:tcPr>
            <w:tcW w:w="5850" w:type="dxa"/>
            <w:noWrap w:val="0"/>
            <w:vAlign w:val="center"/>
          </w:tcPr>
          <w:p>
            <w:pPr>
              <w:keepNext w:val="0"/>
              <w:keepLines w:val="0"/>
              <w:widowControl/>
              <w:suppressLineNumbers w:val="0"/>
              <w:ind w:firstLine="400" w:firstLineChars="20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1.</w:t>
            </w:r>
            <w:r>
              <w:rPr>
                <w:rFonts w:hint="eastAsia" w:ascii="宋体" w:hAnsi="宋体" w:eastAsia="宋体" w:cs="宋体"/>
                <w:i w:val="0"/>
                <w:color w:val="auto"/>
                <w:kern w:val="0"/>
                <w:sz w:val="20"/>
                <w:szCs w:val="20"/>
                <w:u w:val="none"/>
                <w:lang w:val="en-US" w:eastAsia="zh-CN" w:bidi="ar"/>
              </w:rPr>
              <w:t>《对外劳务合作管理条例》（2012年国务院令第620号）</w:t>
            </w:r>
          </w:p>
          <w:p>
            <w:pPr>
              <w:keepNext w:val="0"/>
              <w:keepLines w:val="0"/>
              <w:widowControl/>
              <w:suppressLineNumbers w:val="0"/>
              <w:ind w:firstLine="400" w:firstLineChars="200"/>
              <w:jc w:val="left"/>
              <w:textAlignment w:val="center"/>
              <w:rPr>
                <w:rFonts w:hint="eastAsia" w:ascii="宋体" w:hAnsi="宋体" w:eastAsia="宋体" w:cs="宋体"/>
                <w:b w:val="0"/>
                <w:bCs w:val="0"/>
                <w:i w:val="0"/>
                <w:caps w:val="0"/>
                <w:color w:val="auto"/>
                <w:spacing w:val="0"/>
                <w:kern w:val="0"/>
                <w:sz w:val="20"/>
                <w:szCs w:val="20"/>
                <w:shd w:val="clear" w:color="auto" w:fill="FFFFFF"/>
                <w:vertAlign w:val="baseline"/>
                <w:lang w:val="en-US" w:eastAsia="zh-CN" w:bidi="ar"/>
              </w:rPr>
            </w:pPr>
            <w:r>
              <w:rPr>
                <w:rFonts w:hint="eastAsia" w:ascii="宋体" w:hAnsi="宋体" w:eastAsia="宋体" w:cs="宋体"/>
                <w:i w:val="0"/>
                <w:color w:val="auto"/>
                <w:kern w:val="0"/>
                <w:sz w:val="20"/>
                <w:szCs w:val="20"/>
                <w:u w:val="none"/>
                <w:lang w:val="en-US" w:eastAsia="zh-CN" w:bidi="ar"/>
              </w:rPr>
              <w:t>第四十一条:对外劳务合作企业未依照本条例规定缴存或者补足备用金的，由商务主管部门责令改正；拒不改正的，吊销其对外劳务合作经营资格证书。</w:t>
            </w:r>
          </w:p>
        </w:tc>
        <w:tc>
          <w:tcPr>
            <w:tcW w:w="166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i w:val="0"/>
                <w:caps w:val="0"/>
                <w:color w:val="auto"/>
                <w:spacing w:val="0"/>
                <w:kern w:val="0"/>
                <w:sz w:val="20"/>
                <w:szCs w:val="20"/>
                <w:shd w:val="clear" w:color="auto" w:fill="FFFFFF"/>
                <w:vertAlign w:val="baseline"/>
                <w:lang w:val="en-US" w:eastAsia="zh-CN" w:bidi="ar"/>
              </w:rPr>
            </w:pPr>
            <w:r>
              <w:rPr>
                <w:rFonts w:hint="eastAsia" w:ascii="宋体" w:hAnsi="宋体" w:eastAsia="宋体" w:cs="宋体"/>
                <w:b w:val="0"/>
                <w:bCs w:val="0"/>
                <w:i w:val="0"/>
                <w:caps w:val="0"/>
                <w:color w:val="auto"/>
                <w:spacing w:val="0"/>
                <w:kern w:val="0"/>
                <w:sz w:val="20"/>
                <w:szCs w:val="20"/>
                <w:shd w:val="clear" w:color="auto" w:fill="FFFFFF"/>
                <w:vertAlign w:val="baseline"/>
                <w:lang w:val="en-US" w:eastAsia="zh-CN" w:bidi="ar"/>
              </w:rPr>
              <w:t>对外经济贸易</w:t>
            </w:r>
            <w:r>
              <w:rPr>
                <w:rFonts w:hint="eastAsia" w:ascii="宋体" w:hAnsi="宋体" w:cs="宋体"/>
                <w:b w:val="0"/>
                <w:bCs w:val="0"/>
                <w:i w:val="0"/>
                <w:caps w:val="0"/>
                <w:color w:val="auto"/>
                <w:spacing w:val="0"/>
                <w:kern w:val="0"/>
                <w:sz w:val="20"/>
                <w:szCs w:val="20"/>
                <w:shd w:val="clear" w:color="auto" w:fill="FFFFFF"/>
                <w:vertAlign w:val="baseline"/>
                <w:lang w:val="en-US" w:eastAsia="zh-CN" w:bidi="ar"/>
              </w:rPr>
              <w:t xml:space="preserve"> </w:t>
            </w:r>
            <w:r>
              <w:rPr>
                <w:rFonts w:hint="eastAsia" w:ascii="宋体" w:hAnsi="宋体" w:eastAsia="宋体" w:cs="宋体"/>
                <w:b w:val="0"/>
                <w:bCs w:val="0"/>
                <w:i w:val="0"/>
                <w:caps w:val="0"/>
                <w:color w:val="auto"/>
                <w:spacing w:val="0"/>
                <w:kern w:val="0"/>
                <w:sz w:val="20"/>
                <w:szCs w:val="20"/>
                <w:shd w:val="clear" w:color="auto" w:fill="FFFFFF"/>
                <w:vertAlign w:val="baseline"/>
                <w:lang w:val="en-US" w:eastAsia="zh-CN" w:bidi="ar"/>
              </w:rPr>
              <w:t>发展科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6" w:hRule="atLeast"/>
        </w:trPr>
        <w:tc>
          <w:tcPr>
            <w:tcW w:w="91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val="0"/>
                <w:bCs w:val="0"/>
                <w:i w:val="0"/>
                <w:caps w:val="0"/>
                <w:color w:val="auto"/>
                <w:spacing w:val="0"/>
                <w:kern w:val="0"/>
                <w:sz w:val="20"/>
                <w:szCs w:val="20"/>
                <w:shd w:val="clear" w:color="auto" w:fill="FFFFFF"/>
                <w:vertAlign w:val="baseline"/>
                <w:lang w:val="en-US" w:eastAsia="zh-CN" w:bidi="ar"/>
              </w:rPr>
            </w:pPr>
            <w:r>
              <w:rPr>
                <w:rFonts w:hint="eastAsia" w:ascii="宋体" w:hAnsi="宋体" w:cs="宋体"/>
                <w:b w:val="0"/>
                <w:bCs w:val="0"/>
                <w:i w:val="0"/>
                <w:caps w:val="0"/>
                <w:color w:val="auto"/>
                <w:spacing w:val="0"/>
                <w:kern w:val="0"/>
                <w:sz w:val="20"/>
                <w:szCs w:val="20"/>
                <w:shd w:val="clear" w:color="auto" w:fill="FFFFFF"/>
                <w:vertAlign w:val="baseline"/>
                <w:lang w:val="en-US" w:eastAsia="zh-CN" w:bidi="ar"/>
              </w:rPr>
              <w:t>7</w:t>
            </w:r>
          </w:p>
        </w:tc>
        <w:tc>
          <w:tcPr>
            <w:tcW w:w="1733" w:type="dxa"/>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外国投资者或者外商投资企业未按照外商投资信息报告制度要求报送投资信息</w:t>
            </w:r>
          </w:p>
        </w:tc>
        <w:tc>
          <w:tcPr>
            <w:tcW w:w="2550" w:type="dxa"/>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经责令改正后在20个工作日内予以补报或更正的。</w:t>
            </w:r>
          </w:p>
        </w:tc>
        <w:tc>
          <w:tcPr>
            <w:tcW w:w="5850" w:type="dxa"/>
            <w:noWrap w:val="0"/>
            <w:vAlign w:val="center"/>
          </w:tcPr>
          <w:p>
            <w:pPr>
              <w:keepNext w:val="0"/>
              <w:keepLines w:val="0"/>
              <w:widowControl/>
              <w:numPr>
                <w:ilvl w:val="0"/>
                <w:numId w:val="0"/>
              </w:numPr>
              <w:suppressLineNumbers w:val="0"/>
              <w:ind w:firstLine="400" w:firstLineChars="20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1.</w:t>
            </w:r>
            <w:r>
              <w:rPr>
                <w:rFonts w:hint="eastAsia" w:ascii="宋体" w:hAnsi="宋体" w:eastAsia="宋体" w:cs="宋体"/>
                <w:i w:val="0"/>
                <w:color w:val="auto"/>
                <w:kern w:val="0"/>
                <w:sz w:val="20"/>
                <w:szCs w:val="20"/>
                <w:u w:val="none"/>
                <w:lang w:val="en-US" w:eastAsia="zh-CN" w:bidi="ar"/>
              </w:rPr>
              <w:t>《中华人民共和国外商投资法》（2019年3月15日第十三届全国人民代表大会第二次会议通过）</w:t>
            </w:r>
          </w:p>
          <w:p>
            <w:pPr>
              <w:keepNext w:val="0"/>
              <w:keepLines w:val="0"/>
              <w:widowControl/>
              <w:numPr>
                <w:ilvl w:val="0"/>
                <w:numId w:val="0"/>
              </w:numPr>
              <w:suppressLineNumbers w:val="0"/>
              <w:ind w:firstLine="400" w:firstLineChars="200"/>
              <w:jc w:val="left"/>
              <w:textAlignment w:val="center"/>
              <w:rPr>
                <w:rFonts w:hint="eastAsia" w:ascii="宋体" w:hAnsi="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 xml:space="preserve">第三十七条:外国投资者、外商投资企业违反本法规定，未按照外商投资信息报告制度的要求报送投资信息的，由商务主管部门责令限期改正；逾期不改正的，处十万元以上五十万元以下的罚款。                                      </w:t>
            </w:r>
            <w:r>
              <w:rPr>
                <w:rFonts w:hint="eastAsia" w:ascii="宋体" w:hAnsi="宋体" w:cs="宋体"/>
                <w:i w:val="0"/>
                <w:color w:val="auto"/>
                <w:kern w:val="0"/>
                <w:sz w:val="20"/>
                <w:szCs w:val="20"/>
                <w:u w:val="none"/>
                <w:lang w:val="en-US" w:eastAsia="zh-CN" w:bidi="ar"/>
              </w:rPr>
              <w:t xml:space="preserve"> </w:t>
            </w:r>
            <w:r>
              <w:rPr>
                <w:rFonts w:hint="eastAsia" w:ascii="宋体" w:hAnsi="宋体" w:eastAsia="宋体" w:cs="宋体"/>
                <w:i w:val="0"/>
                <w:color w:val="auto"/>
                <w:kern w:val="0"/>
                <w:sz w:val="20"/>
                <w:szCs w:val="20"/>
                <w:u w:val="none"/>
                <w:lang w:val="en-US" w:eastAsia="zh-CN" w:bidi="ar"/>
              </w:rPr>
              <w:t xml:space="preserve"> </w:t>
            </w:r>
            <w:r>
              <w:rPr>
                <w:rFonts w:hint="eastAsia" w:ascii="宋体" w:hAnsi="宋体" w:cs="宋体"/>
                <w:i w:val="0"/>
                <w:color w:val="auto"/>
                <w:kern w:val="0"/>
                <w:sz w:val="20"/>
                <w:szCs w:val="20"/>
                <w:u w:val="none"/>
                <w:lang w:val="en-US" w:eastAsia="zh-CN" w:bidi="ar"/>
              </w:rPr>
              <w:t xml:space="preserve"> </w:t>
            </w:r>
          </w:p>
          <w:p>
            <w:pPr>
              <w:keepNext w:val="0"/>
              <w:keepLines w:val="0"/>
              <w:widowControl/>
              <w:numPr>
                <w:ilvl w:val="0"/>
                <w:numId w:val="0"/>
              </w:numPr>
              <w:suppressLineNumbers w:val="0"/>
              <w:ind w:firstLine="400" w:firstLineChars="20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2.</w:t>
            </w:r>
            <w:r>
              <w:rPr>
                <w:rFonts w:hint="eastAsia" w:ascii="宋体" w:hAnsi="宋体" w:eastAsia="宋体" w:cs="宋体"/>
                <w:i w:val="0"/>
                <w:color w:val="auto"/>
                <w:kern w:val="0"/>
                <w:sz w:val="20"/>
                <w:szCs w:val="20"/>
                <w:u w:val="none"/>
                <w:lang w:val="en-US" w:eastAsia="zh-CN" w:bidi="ar"/>
              </w:rPr>
              <w:t>《外商投资信息报告办法》（商务部 国家市场监督管理总局令2019年第2号）</w:t>
            </w:r>
          </w:p>
          <w:p>
            <w:pPr>
              <w:keepNext w:val="0"/>
              <w:keepLines w:val="0"/>
              <w:widowControl/>
              <w:numPr>
                <w:ilvl w:val="0"/>
                <w:numId w:val="0"/>
              </w:numPr>
              <w:suppressLineNumbers w:val="0"/>
              <w:ind w:firstLine="400" w:firstLineChars="20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第二十五条：外国投资者或者外商投资企业未按照本办法要求报送投资信息，且在商务主管部门通知后未按照本办法第十九条予以补报或更正的，由商务主管部门责令其于20个工作日内改正；逾期不改正的，处十万元以上三十万元以下罚款；逾期不改正且存在以下情形的，处三十万元以上五十万元以下罚款：  （一）外国投资者或者外商投资企业故意逃避履行信息报告义务，或在进行信息报告时隐瞒真实情况、提供误导性或虚假信息；  （二）外国投资者或者外商投资企业就所属行业、是否涉及外商投资准入特别管理措施、企业投资者及其实际控制人等重要信息报送错误；  （三）外国投资者或者外商投资企业未按照本办法要求报送投资信息，并因此受到行政处罚的，两年内再次违反本办法有关要求；（四）商务主管部门认定的其他严重情形。</w:t>
            </w:r>
          </w:p>
        </w:tc>
        <w:tc>
          <w:tcPr>
            <w:tcW w:w="166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i w:val="0"/>
                <w:caps w:val="0"/>
                <w:color w:val="auto"/>
                <w:spacing w:val="0"/>
                <w:kern w:val="0"/>
                <w:sz w:val="20"/>
                <w:szCs w:val="20"/>
                <w:shd w:val="clear" w:color="auto" w:fill="FFFFFF"/>
                <w:vertAlign w:val="baseline"/>
                <w:lang w:val="en-US" w:eastAsia="zh-CN" w:bidi="ar"/>
              </w:rPr>
            </w:pPr>
            <w:r>
              <w:rPr>
                <w:rFonts w:hint="eastAsia" w:ascii="宋体" w:hAnsi="宋体" w:eastAsia="宋体" w:cs="宋体"/>
                <w:b w:val="0"/>
                <w:bCs w:val="0"/>
                <w:i w:val="0"/>
                <w:caps w:val="0"/>
                <w:color w:val="auto"/>
                <w:spacing w:val="0"/>
                <w:kern w:val="0"/>
                <w:sz w:val="20"/>
                <w:szCs w:val="20"/>
                <w:shd w:val="clear" w:color="auto" w:fill="FFFFFF"/>
                <w:vertAlign w:val="baseline"/>
                <w:lang w:val="en-US" w:eastAsia="zh-CN" w:bidi="ar"/>
              </w:rPr>
              <w:t>开放发展科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17" w:type="dxa"/>
            <w:gridSpan w:val="5"/>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eastAsia="zh-CN"/>
              </w:rPr>
              <w:t>备注：</w:t>
            </w:r>
            <w:r>
              <w:rPr>
                <w:rFonts w:hint="eastAsia" w:ascii="宋体" w:hAnsi="宋体" w:eastAsia="宋体" w:cs="宋体"/>
                <w:color w:val="auto"/>
                <w:sz w:val="20"/>
                <w:szCs w:val="20"/>
              </w:rPr>
              <w:t>1</w:t>
            </w:r>
            <w:r>
              <w:rPr>
                <w:rFonts w:hint="eastAsia" w:ascii="宋体" w:hAnsi="宋体" w:eastAsia="宋体" w:cs="宋体"/>
                <w:color w:val="auto"/>
                <w:sz w:val="20"/>
                <w:szCs w:val="20"/>
                <w:lang w:val="en-US" w:eastAsia="zh-CN"/>
              </w:rPr>
              <w:t>.</w:t>
            </w:r>
            <w:r>
              <w:rPr>
                <w:rFonts w:hint="eastAsia" w:ascii="宋体" w:hAnsi="宋体" w:eastAsia="宋体" w:cs="宋体"/>
                <w:color w:val="auto"/>
                <w:sz w:val="20"/>
                <w:szCs w:val="20"/>
              </w:rPr>
              <w:t>“</w:t>
            </w:r>
            <w:r>
              <w:rPr>
                <w:rFonts w:hint="eastAsia" w:ascii="宋体" w:hAnsi="宋体" w:eastAsia="宋体" w:cs="宋体"/>
                <w:b w:val="0"/>
                <w:bCs w:val="0"/>
                <w:color w:val="auto"/>
                <w:sz w:val="20"/>
                <w:szCs w:val="20"/>
                <w:lang w:eastAsia="zh-CN"/>
              </w:rPr>
              <w:t>首违</w:t>
            </w:r>
            <w:r>
              <w:rPr>
                <w:rFonts w:hint="eastAsia" w:ascii="宋体" w:hAnsi="宋体" w:eastAsia="宋体" w:cs="宋体"/>
                <w:b w:val="0"/>
                <w:bCs w:val="0"/>
                <w:color w:val="auto"/>
                <w:sz w:val="20"/>
                <w:szCs w:val="20"/>
              </w:rPr>
              <w:t>轻微</w:t>
            </w:r>
            <w:r>
              <w:rPr>
                <w:rFonts w:hint="eastAsia" w:ascii="宋体" w:hAnsi="宋体" w:eastAsia="宋体" w:cs="宋体"/>
                <w:b w:val="0"/>
                <w:bCs w:val="0"/>
                <w:color w:val="auto"/>
                <w:sz w:val="20"/>
                <w:szCs w:val="20"/>
                <w:lang w:eastAsia="zh-CN"/>
              </w:rPr>
              <w:t>不罚</w:t>
            </w:r>
            <w:r>
              <w:rPr>
                <w:rFonts w:hint="eastAsia" w:ascii="宋体" w:hAnsi="宋体" w:eastAsia="宋体" w:cs="宋体"/>
                <w:color w:val="auto"/>
                <w:sz w:val="20"/>
                <w:szCs w:val="20"/>
              </w:rPr>
              <w:t>”必须符合行政处罚法第五十一条规定的三个要件：即初次违法、危害后果轻微、违法行为人及时改正，这三个要件必须同时具备，缺一不可。初次违法主要是指当事人在一定时间范围内，在同一领域、同一空间内第一次有某种违法行为</w:t>
            </w:r>
            <w:r>
              <w:rPr>
                <w:rFonts w:hint="eastAsia" w:ascii="宋体" w:hAnsi="宋体" w:eastAsia="宋体" w:cs="宋体"/>
                <w:color w:val="auto"/>
                <w:sz w:val="20"/>
                <w:szCs w:val="20"/>
                <w:lang w:val="en-US" w:eastAsia="zh-CN"/>
              </w:rPr>
              <w:t>;</w:t>
            </w:r>
          </w:p>
          <w:p>
            <w:pPr>
              <w:jc w:val="both"/>
              <w:rPr>
                <w:rFonts w:hint="eastAsia" w:ascii="宋体" w:hAnsi="宋体" w:eastAsia="宋体" w:cs="宋体"/>
                <w:color w:val="auto"/>
                <w:sz w:val="20"/>
                <w:szCs w:val="20"/>
              </w:rPr>
            </w:pPr>
            <w:r>
              <w:rPr>
                <w:rFonts w:hint="eastAsia" w:ascii="宋体" w:hAnsi="宋体" w:eastAsia="宋体" w:cs="宋体"/>
                <w:color w:val="auto"/>
                <w:sz w:val="20"/>
                <w:szCs w:val="20"/>
              </w:rPr>
              <w:t>2</w:t>
            </w:r>
            <w:r>
              <w:rPr>
                <w:rFonts w:hint="eastAsia" w:ascii="宋体" w:hAnsi="宋体" w:eastAsia="宋体" w:cs="宋体"/>
                <w:color w:val="auto"/>
                <w:sz w:val="20"/>
                <w:szCs w:val="20"/>
                <w:lang w:val="en-US" w:eastAsia="zh-CN"/>
              </w:rPr>
              <w:t>.</w:t>
            </w:r>
            <w:r>
              <w:rPr>
                <w:rFonts w:hint="eastAsia" w:ascii="宋体" w:hAnsi="宋体" w:eastAsia="宋体" w:cs="宋体"/>
                <w:color w:val="auto"/>
                <w:sz w:val="20"/>
                <w:szCs w:val="20"/>
              </w:rPr>
              <w:t>“</w:t>
            </w:r>
            <w:r>
              <w:rPr>
                <w:rFonts w:hint="eastAsia" w:ascii="宋体" w:hAnsi="宋体" w:eastAsia="宋体" w:cs="宋体"/>
                <w:b w:val="0"/>
                <w:bCs w:val="0"/>
                <w:color w:val="auto"/>
                <w:sz w:val="20"/>
                <w:szCs w:val="20"/>
                <w:lang w:eastAsia="zh-CN"/>
              </w:rPr>
              <w:t>首违</w:t>
            </w:r>
            <w:r>
              <w:rPr>
                <w:rFonts w:hint="eastAsia" w:ascii="宋体" w:hAnsi="宋体" w:eastAsia="宋体" w:cs="宋体"/>
                <w:b w:val="0"/>
                <w:bCs w:val="0"/>
                <w:color w:val="auto"/>
                <w:sz w:val="20"/>
                <w:szCs w:val="20"/>
              </w:rPr>
              <w:t>轻微</w:t>
            </w:r>
            <w:r>
              <w:rPr>
                <w:rFonts w:hint="eastAsia" w:ascii="宋体" w:hAnsi="宋体" w:eastAsia="宋体" w:cs="宋体"/>
                <w:b w:val="0"/>
                <w:bCs w:val="0"/>
                <w:color w:val="auto"/>
                <w:sz w:val="20"/>
                <w:szCs w:val="20"/>
                <w:lang w:eastAsia="zh-CN"/>
              </w:rPr>
              <w:t>不罚</w:t>
            </w:r>
            <w:r>
              <w:rPr>
                <w:rFonts w:hint="eastAsia" w:ascii="宋体" w:hAnsi="宋体" w:eastAsia="宋体" w:cs="宋体"/>
                <w:color w:val="auto"/>
                <w:sz w:val="20"/>
                <w:szCs w:val="20"/>
              </w:rPr>
              <w:t>”可以作为行政处罚裁量说理的内容，不得直接作为行政处罚的法律依据</w:t>
            </w:r>
            <w:r>
              <w:rPr>
                <w:rFonts w:hint="eastAsia" w:ascii="宋体" w:hAnsi="宋体" w:eastAsia="宋体" w:cs="宋体"/>
                <w:color w:val="auto"/>
                <w:sz w:val="20"/>
                <w:szCs w:val="20"/>
                <w:lang w:val="en-US" w:eastAsia="zh-CN"/>
              </w:rPr>
              <w:t>;</w:t>
            </w:r>
          </w:p>
          <w:p>
            <w:pPr>
              <w:jc w:val="both"/>
              <w:rPr>
                <w:rFonts w:hint="eastAsia" w:ascii="宋体" w:hAnsi="宋体" w:eastAsia="宋体" w:cs="宋体"/>
                <w:color w:val="auto"/>
                <w:sz w:val="20"/>
                <w:szCs w:val="20"/>
              </w:rPr>
            </w:pPr>
            <w:r>
              <w:rPr>
                <w:rFonts w:hint="eastAsia" w:ascii="宋体" w:hAnsi="宋体" w:eastAsia="宋体" w:cs="宋体"/>
                <w:color w:val="auto"/>
                <w:sz w:val="20"/>
                <w:szCs w:val="20"/>
              </w:rPr>
              <w:t>3</w:t>
            </w:r>
            <w:r>
              <w:rPr>
                <w:rFonts w:hint="eastAsia" w:ascii="宋体" w:hAnsi="宋体" w:eastAsia="宋体" w:cs="宋体"/>
                <w:color w:val="auto"/>
                <w:sz w:val="20"/>
                <w:szCs w:val="20"/>
                <w:lang w:val="en-US" w:eastAsia="zh-CN"/>
              </w:rPr>
              <w:t>.</w:t>
            </w:r>
            <w:r>
              <w:rPr>
                <w:rFonts w:hint="eastAsia" w:ascii="宋体" w:hAnsi="宋体" w:eastAsia="宋体" w:cs="宋体"/>
                <w:color w:val="auto"/>
                <w:sz w:val="20"/>
                <w:szCs w:val="20"/>
              </w:rPr>
              <w:t>“</w:t>
            </w:r>
            <w:r>
              <w:rPr>
                <w:rFonts w:hint="eastAsia" w:ascii="宋体" w:hAnsi="宋体" w:eastAsia="宋体" w:cs="宋体"/>
                <w:b w:val="0"/>
                <w:bCs w:val="0"/>
                <w:color w:val="auto"/>
                <w:sz w:val="20"/>
                <w:szCs w:val="20"/>
                <w:lang w:eastAsia="zh-CN"/>
              </w:rPr>
              <w:t>首违</w:t>
            </w:r>
            <w:r>
              <w:rPr>
                <w:rFonts w:hint="eastAsia" w:ascii="宋体" w:hAnsi="宋体" w:eastAsia="宋体" w:cs="宋体"/>
                <w:b w:val="0"/>
                <w:bCs w:val="0"/>
                <w:color w:val="auto"/>
                <w:sz w:val="20"/>
                <w:szCs w:val="20"/>
              </w:rPr>
              <w:t>轻微</w:t>
            </w:r>
            <w:r>
              <w:rPr>
                <w:rFonts w:hint="eastAsia" w:ascii="宋体" w:hAnsi="宋体" w:eastAsia="宋体" w:cs="宋体"/>
                <w:b w:val="0"/>
                <w:bCs w:val="0"/>
                <w:color w:val="auto"/>
                <w:sz w:val="20"/>
                <w:szCs w:val="20"/>
                <w:lang w:eastAsia="zh-CN"/>
              </w:rPr>
              <w:t>不罚</w:t>
            </w:r>
            <w:r>
              <w:rPr>
                <w:rFonts w:hint="eastAsia" w:ascii="宋体" w:hAnsi="宋体" w:eastAsia="宋体" w:cs="宋体"/>
                <w:color w:val="auto"/>
                <w:sz w:val="20"/>
                <w:szCs w:val="20"/>
              </w:rPr>
              <w:t>”清单未列明的违法行为，符合法定不予处罚条件的，不得给予处罚</w:t>
            </w:r>
            <w:r>
              <w:rPr>
                <w:rFonts w:hint="eastAsia" w:ascii="宋体" w:hAnsi="宋体" w:eastAsia="宋体" w:cs="宋体"/>
                <w:color w:val="auto"/>
                <w:sz w:val="20"/>
                <w:szCs w:val="20"/>
                <w:lang w:val="en-US" w:eastAsia="zh-CN"/>
              </w:rPr>
              <w:t>;</w:t>
            </w:r>
          </w:p>
          <w:p>
            <w:pPr>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rPr>
              <w:t>4</w:t>
            </w:r>
            <w:r>
              <w:rPr>
                <w:rFonts w:hint="eastAsia" w:ascii="宋体" w:hAnsi="宋体" w:eastAsia="宋体" w:cs="宋体"/>
                <w:color w:val="auto"/>
                <w:sz w:val="20"/>
                <w:szCs w:val="20"/>
                <w:lang w:val="en-US" w:eastAsia="zh-CN"/>
              </w:rPr>
              <w:t>.</w:t>
            </w:r>
            <w:r>
              <w:rPr>
                <w:rFonts w:hint="eastAsia" w:ascii="宋体" w:hAnsi="宋体" w:eastAsia="宋体" w:cs="宋体"/>
                <w:color w:val="auto"/>
                <w:sz w:val="20"/>
                <w:szCs w:val="20"/>
              </w:rPr>
              <w:t>当事人有“首违不罚”所列轻微违法行为，同时又存在从重处罚情节的，不适用免予处罚</w:t>
            </w:r>
            <w:r>
              <w:rPr>
                <w:rFonts w:hint="eastAsia" w:ascii="宋体" w:hAnsi="宋体" w:eastAsia="宋体" w:cs="宋体"/>
                <w:color w:val="auto"/>
                <w:sz w:val="20"/>
                <w:szCs w:val="20"/>
                <w:lang w:val="en-US" w:eastAsia="zh-CN"/>
              </w:rPr>
              <w:t>;</w:t>
            </w:r>
          </w:p>
          <w:p>
            <w:pPr>
              <w:jc w:val="both"/>
              <w:rPr>
                <w:rFonts w:hint="eastAsia" w:ascii="宋体" w:hAnsi="宋体" w:eastAsia="宋体" w:cs="宋体"/>
                <w:b w:val="0"/>
                <w:bCs w:val="0"/>
                <w:i w:val="0"/>
                <w:caps w:val="0"/>
                <w:color w:val="auto"/>
                <w:spacing w:val="0"/>
                <w:kern w:val="0"/>
                <w:sz w:val="20"/>
                <w:szCs w:val="20"/>
                <w:shd w:val="clear" w:color="auto" w:fill="FFFFFF"/>
                <w:vertAlign w:val="baseline"/>
                <w:lang w:val="en-US" w:eastAsia="zh-CN" w:bidi="ar"/>
              </w:rPr>
            </w:pPr>
            <w:r>
              <w:rPr>
                <w:rFonts w:hint="eastAsia" w:ascii="宋体" w:hAnsi="宋体" w:eastAsia="宋体" w:cs="宋体"/>
                <w:color w:val="auto"/>
                <w:sz w:val="20"/>
                <w:szCs w:val="20"/>
              </w:rPr>
              <w:t>5</w:t>
            </w:r>
            <w:r>
              <w:rPr>
                <w:rFonts w:hint="eastAsia" w:ascii="宋体" w:hAnsi="宋体" w:eastAsia="宋体" w:cs="宋体"/>
                <w:color w:val="auto"/>
                <w:sz w:val="20"/>
                <w:szCs w:val="20"/>
                <w:lang w:val="en-US" w:eastAsia="zh-CN"/>
              </w:rPr>
              <w:t>.</w:t>
            </w:r>
            <w:r>
              <w:rPr>
                <w:rFonts w:hint="eastAsia" w:ascii="宋体" w:hAnsi="宋体" w:eastAsia="宋体" w:cs="宋体"/>
                <w:color w:val="auto"/>
                <w:sz w:val="20"/>
                <w:szCs w:val="20"/>
              </w:rPr>
              <w:t>当事人有“首违不罚”所列轻微违法行为，免予处罚后又实施该违法行为的，不再适用免予处罚。</w:t>
            </w:r>
          </w:p>
        </w:tc>
      </w:tr>
    </w:tbl>
    <w:p>
      <w:pPr>
        <w:pStyle w:val="3"/>
        <w:rPr>
          <w:rFonts w:hint="default"/>
          <w:lang w:val="en-US" w:eastAsia="zh-CN"/>
        </w:rPr>
        <w:sectPr>
          <w:pgSz w:w="16838" w:h="11906" w:orient="landscape"/>
          <w:pgMar w:top="1587" w:right="2098" w:bottom="1474" w:left="1984" w:header="851" w:footer="992" w:gutter="0"/>
          <w:cols w:space="720" w:num="1"/>
          <w:rtlGutter w:val="0"/>
          <w:docGrid w:type="lines" w:linePitch="312" w:charSpace="0"/>
        </w:sect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xMTNhOTYxNjE0NmQ2ZDdlMWRiNjc4MGNkMjcxMTQifQ=="/>
  </w:docVars>
  <w:rsids>
    <w:rsidRoot w:val="59A74029"/>
    <w:rsid w:val="59A74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unhideWhenUsed/>
    <w:qFormat/>
    <w:uiPriority w:val="0"/>
    <w:pPr>
      <w:spacing w:after="120"/>
    </w:pPr>
    <w:rPr>
      <w:kern w:val="0"/>
      <w:sz w:val="20"/>
      <w:szCs w:val="24"/>
    </w:rPr>
  </w:style>
  <w:style w:type="paragraph" w:styleId="3">
    <w:name w:val="Body Text First Indent"/>
    <w:basedOn w:val="2"/>
    <w:next w:val="4"/>
    <w:unhideWhenUsed/>
    <w:qFormat/>
    <w:uiPriority w:val="0"/>
    <w:pPr>
      <w:ind w:firstLine="420" w:firstLineChars="100"/>
    </w:pPr>
  </w:style>
  <w:style w:type="paragraph" w:styleId="4">
    <w:name w:val="Title"/>
    <w:basedOn w:val="1"/>
    <w:next w:val="1"/>
    <w:qFormat/>
    <w:uiPriority w:val="0"/>
    <w:pPr>
      <w:widowControl/>
      <w:spacing w:before="240" w:after="60" w:line="560" w:lineRule="exact"/>
      <w:jc w:val="center"/>
      <w:outlineLvl w:val="0"/>
    </w:pPr>
    <w:rPr>
      <w:rFonts w:ascii="Arial" w:hAnsi="Arial" w:eastAsia="华文中宋" w:cs="Arial"/>
      <w:b/>
      <w:bCs/>
      <w:color w:val="FF0000"/>
      <w:kern w:val="0"/>
      <w:sz w:val="84"/>
      <w:szCs w:val="32"/>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2022-11-18T02:44:00Z</dcterms:created>
  <dc:creator>宇轩（依依）</dc:creator>
  <cp:lastModifiedBy>宇轩（依依）</cp:lastModifiedBy>
  <dcterms:modified xsi:type="dcterms:W3CDTF">2022-11-18T02:44:27Z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DB3DBB595C3346688AEFA2C3740BF53B</vt:lpwstr>
  </property>
</Properties>
</file>