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江西省商贸物流高质量发展专项行动方案</w:t>
      </w:r>
    </w:p>
    <w:bookmarkEnd w:id="0"/>
    <w:p>
      <w:pPr>
        <w:keepNext w:val="0"/>
        <w:keepLines w:val="0"/>
        <w:pageBreakBefore w:val="0"/>
        <w:kinsoku/>
        <w:overflowPunct/>
        <w:topLinePunct w:val="0"/>
        <w:bidi w:val="0"/>
        <w:spacing w:line="560" w:lineRule="exact"/>
        <w:jc w:val="center"/>
        <w:textAlignment w:val="auto"/>
        <w:rPr>
          <w:rFonts w:hint="eastAsia" w:ascii="楷体" w:hAnsi="楷体" w:eastAsia="楷体" w:cs="楷体"/>
          <w:sz w:val="32"/>
          <w:szCs w:val="32"/>
        </w:rPr>
      </w:pPr>
      <w:r>
        <w:rPr>
          <w:rFonts w:hint="eastAsia" w:ascii="楷体" w:hAnsi="楷体" w:eastAsia="楷体" w:cs="楷体"/>
          <w:sz w:val="32"/>
          <w:szCs w:val="32"/>
        </w:rPr>
        <w:t>(2021-2025年)</w:t>
      </w:r>
    </w:p>
    <w:p>
      <w:pPr>
        <w:keepNext w:val="0"/>
        <w:keepLines w:val="0"/>
        <w:pageBreakBefore w:val="0"/>
        <w:kinsoku/>
        <w:overflowPunct/>
        <w:topLinePunct w:val="0"/>
        <w:bidi w:val="0"/>
        <w:spacing w:line="560" w:lineRule="exact"/>
        <w:textAlignment w:val="auto"/>
        <w:rPr>
          <w:rFonts w:hint="eastAsia"/>
          <w:sz w:val="32"/>
          <w:szCs w:val="32"/>
        </w:rPr>
      </w:pPr>
    </w:p>
    <w:p>
      <w:pPr>
        <w:keepNext w:val="0"/>
        <w:keepLines w:val="0"/>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为贯彻落实省委、省政府关于打造全国构建新发展格局重要战略支点的决策部署，推动</w:t>
      </w:r>
      <w:r>
        <w:rPr>
          <w:rFonts w:hint="eastAsia" w:ascii="仿宋_GB2312" w:hAnsi="仿宋_GB2312" w:eastAsia="仿宋_GB2312" w:cs="仿宋_GB2312"/>
          <w:sz w:val="32"/>
          <w:szCs w:val="32"/>
          <w:lang w:eastAsia="zh-CN"/>
        </w:rPr>
        <w:t>全省</w:t>
      </w:r>
      <w:r>
        <w:rPr>
          <w:rFonts w:hint="eastAsia" w:ascii="仿宋_GB2312" w:hAnsi="仿宋_GB2312" w:eastAsia="仿宋_GB2312" w:cs="仿宋_GB2312"/>
          <w:sz w:val="32"/>
          <w:szCs w:val="32"/>
        </w:rPr>
        <w:t>商贸物流高质量发展,根据《商务部等 9 部门关于印发〈商贸物流高质量发展专项行动计划(2021-2025年)〉的通知》(商流通函〔2021〕397 号),结合我省实际,制定本工作方案。</w:t>
      </w:r>
    </w:p>
    <w:p>
      <w:pPr>
        <w:keepNext w:val="0"/>
        <w:keepLines w:val="0"/>
        <w:pageBreakBefore w:val="0"/>
        <w:kinsoku/>
        <w:overflowPunct/>
        <w:topLinePunct w:val="0"/>
        <w:bidi w:val="0"/>
        <w:spacing w:line="560" w:lineRule="exact"/>
        <w:ind w:firstLine="640" w:firstLineChars="200"/>
        <w:textAlignment w:val="auto"/>
        <w:rPr>
          <w:rFonts w:hint="eastAsia" w:ascii="黑体" w:hAnsi="黑体" w:eastAsia="黑体" w:cs="黑体"/>
          <w:sz w:val="32"/>
          <w:szCs w:val="32"/>
          <w:lang w:val="en"/>
        </w:rPr>
      </w:pPr>
      <w:r>
        <w:rPr>
          <w:rFonts w:hint="eastAsia" w:ascii="黑体" w:hAnsi="黑体" w:eastAsia="黑体" w:cs="黑体"/>
          <w:sz w:val="32"/>
          <w:szCs w:val="32"/>
        </w:rPr>
        <w:t>一、</w:t>
      </w:r>
      <w:r>
        <w:rPr>
          <w:rFonts w:hint="eastAsia" w:ascii="黑体" w:hAnsi="黑体" w:eastAsia="黑体" w:cs="黑体"/>
          <w:sz w:val="32"/>
          <w:szCs w:val="32"/>
          <w:lang w:val="en"/>
        </w:rPr>
        <w:t>指导思想</w:t>
      </w:r>
    </w:p>
    <w:p>
      <w:pPr>
        <w:keepNext w:val="0"/>
        <w:keepLines w:val="0"/>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立足新发展阶段,贯彻新发展理念,以网络体系为支撑,以骨干企业为主体,以改革创新为动力,以优化环境为保障,加快打造中部地区重要的商贸物流中心,全面提升商贸物流现代化水平,便利城乡居民消费,为江西打造全国构建新发展格局重要战略支点提供有力支撑。</w:t>
      </w:r>
    </w:p>
    <w:p>
      <w:pPr>
        <w:keepNext w:val="0"/>
        <w:keepLines w:val="0"/>
        <w:pageBreakBefore w:val="0"/>
        <w:numPr>
          <w:ilvl w:val="0"/>
          <w:numId w:val="1"/>
        </w:numPr>
        <w:kinsoku/>
        <w:overflowPunct/>
        <w:topLinePunct w:val="0"/>
        <w:bidi w:val="0"/>
        <w:spacing w:line="560" w:lineRule="exact"/>
        <w:ind w:firstLine="640" w:firstLineChars="200"/>
        <w:textAlignment w:val="auto"/>
        <w:rPr>
          <w:rFonts w:hint="eastAsia" w:ascii="黑体" w:hAnsi="黑体" w:eastAsia="黑体" w:cs="黑体"/>
          <w:sz w:val="32"/>
          <w:szCs w:val="32"/>
          <w:lang w:val="en"/>
        </w:rPr>
      </w:pPr>
      <w:r>
        <w:rPr>
          <w:rFonts w:hint="eastAsia" w:ascii="黑体" w:hAnsi="黑体" w:eastAsia="黑体" w:cs="黑体"/>
          <w:sz w:val="32"/>
          <w:szCs w:val="32"/>
          <w:lang w:val="en"/>
        </w:rPr>
        <w:t>工作目标</w:t>
      </w:r>
    </w:p>
    <w:p>
      <w:pPr>
        <w:keepNext w:val="0"/>
        <w:keepLines w:val="0"/>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按照“市场主导、政府引导，创新驱动、转型升级，因地制宜、有序推进”的原则，积极推进商贸物流高质量发展专项行动，到2025年，初步建立畅通高效、协同共享、标准规范、智能绿色、融合开放的现代商贸物流体系，培育壮大一批在全国具有较强竞争力和影响力的商贸物流龙头企业，商贸物流标准化、数字化、智能化、绿色化水平显著提高，商贸物流网络更加健全，区域物流一体化加快推进，新模式新业态加快发展，商贸物流服务质量和效率进一步提升，我省作为中部地区重要的商贸物流中心作用日益凸显。</w:t>
      </w:r>
    </w:p>
    <w:p>
      <w:pPr>
        <w:keepNext w:val="0"/>
        <w:keepLines w:val="0"/>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
        </w:rPr>
        <w:t>三、主要任务</w:t>
      </w:r>
    </w:p>
    <w:p>
      <w:pPr>
        <w:keepNext w:val="0"/>
        <w:keepLines w:val="0"/>
        <w:pageBreakBefore w:val="0"/>
        <w:kinsoku/>
        <w:overflowPunct/>
        <w:topLinePunct w:val="0"/>
        <w:bidi w:val="0"/>
        <w:adjustRightInd w:val="0"/>
        <w:snapToGrid w:val="0"/>
        <w:spacing w:line="560" w:lineRule="exact"/>
        <w:ind w:firstLine="640"/>
        <w:textAlignment w:val="auto"/>
        <w:rPr>
          <w:rFonts w:hint="eastAsia" w:ascii="楷体" w:hAnsi="楷体" w:eastAsia="楷体" w:cs="楷体"/>
          <w:sz w:val="32"/>
          <w:szCs w:val="32"/>
        </w:rPr>
      </w:pPr>
      <w:r>
        <w:rPr>
          <w:rFonts w:hint="eastAsia" w:ascii="楷体" w:hAnsi="楷体" w:eastAsia="楷体" w:cs="楷体"/>
          <w:b/>
          <w:bCs/>
          <w:kern w:val="0"/>
          <w:sz w:val="32"/>
          <w:szCs w:val="32"/>
          <w:lang w:bidi="ar"/>
        </w:rPr>
        <w:t>（一）优化商贸物流网络布局。</w:t>
      </w:r>
      <w:r>
        <w:rPr>
          <w:rFonts w:hint="eastAsia" w:ascii="仿宋_GB2312" w:hAnsi="仿宋_GB2312" w:eastAsia="仿宋_GB2312" w:cs="仿宋_GB2312"/>
          <w:sz w:val="32"/>
          <w:szCs w:val="32"/>
        </w:rPr>
        <w:t>加大对赣州商贸服务型</w:t>
      </w:r>
      <w:r>
        <w:rPr>
          <w:rFonts w:hint="eastAsia" w:ascii="仿宋_GB2312" w:hAnsi="仿宋_GB2312" w:eastAsia="仿宋_GB2312" w:cs="仿宋_GB2312"/>
          <w:sz w:val="32"/>
          <w:szCs w:val="32"/>
          <w:lang w:eastAsia="zh-CN"/>
        </w:rPr>
        <w:t>、南昌陆港型</w:t>
      </w:r>
      <w:r>
        <w:rPr>
          <w:rFonts w:hint="eastAsia" w:ascii="仿宋_GB2312" w:hAnsi="仿宋_GB2312" w:eastAsia="仿宋_GB2312" w:cs="仿宋_GB2312"/>
          <w:sz w:val="32"/>
          <w:szCs w:val="32"/>
        </w:rPr>
        <w:t>国家物流枢纽以及其他物流枢纽承载城市的建设力度，重点建设“一圈四中心六节点”（大南昌商贸物流圈，赣州、九江、上饶、宜春4个区域性商贸物流中心，景德镇、抚州、吉安、鹰潭、萍乡、新余6个节点城市），提升集聚辐射能力。加快推进商贸物流产业集聚，在全省范围内重点发展综合物流、航空物流、口岸物流、农产品物流等15个物流产业集群。统筹推进城乡商贸物流基础设施规划建设和改造升级，开展县域物流</w:t>
      </w:r>
      <w:r>
        <w:rPr>
          <w:rFonts w:hint="eastAsia" w:ascii="仿宋_GB2312" w:hAnsi="仿宋_GB2312" w:eastAsia="仿宋_GB2312" w:cs="仿宋_GB2312"/>
          <w:sz w:val="32"/>
          <w:szCs w:val="32"/>
          <w:lang w:eastAsia="zh-CN"/>
        </w:rPr>
        <w:t>配送体系</w:t>
      </w:r>
      <w:r>
        <w:rPr>
          <w:rFonts w:hint="eastAsia" w:ascii="仿宋_GB2312" w:hAnsi="仿宋_GB2312" w:eastAsia="仿宋_GB2312" w:cs="仿宋_GB2312"/>
          <w:sz w:val="32"/>
          <w:szCs w:val="32"/>
        </w:rPr>
        <w:t>建设试点，加强县域商业体系建设，健全农村商贸服务和寄递物流体系，基本实现县县有物流配送中心、乡乡有配送站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村村通快递。</w:t>
      </w:r>
      <w:r>
        <w:rPr>
          <w:rFonts w:hint="eastAsia" w:ascii="楷体" w:hAnsi="楷体" w:eastAsia="楷体" w:cs="楷体"/>
          <w:sz w:val="32"/>
          <w:szCs w:val="32"/>
        </w:rPr>
        <w:t>（省商务厅、省发展改革委、省交通运输厅、省自然资源厅、省住房城乡建设厅、省邮政管理局按职责分工负责）</w:t>
      </w:r>
    </w:p>
    <w:p>
      <w:pPr>
        <w:keepNext w:val="0"/>
        <w:keepLines w:val="0"/>
        <w:pageBreakBefore w:val="0"/>
        <w:kinsoku/>
        <w:overflowPunct/>
        <w:topLinePunct w:val="0"/>
        <w:bidi w:val="0"/>
        <w:spacing w:line="560" w:lineRule="exact"/>
        <w:ind w:firstLine="643"/>
        <w:textAlignment w:val="auto"/>
        <w:rPr>
          <w:rFonts w:hint="eastAsia" w:ascii="楷体" w:hAnsi="楷体" w:eastAsia="楷体" w:cs="楷体"/>
          <w:sz w:val="32"/>
          <w:szCs w:val="32"/>
        </w:rPr>
      </w:pPr>
      <w:r>
        <w:rPr>
          <w:rFonts w:hint="eastAsia" w:ascii="楷体" w:hAnsi="楷体" w:eastAsia="楷体" w:cs="楷体"/>
          <w:b/>
          <w:bCs/>
          <w:kern w:val="0"/>
          <w:sz w:val="32"/>
          <w:szCs w:val="32"/>
          <w:lang w:bidi="ar"/>
        </w:rPr>
        <w:t>（二）拓展国际物流发展空间。</w:t>
      </w:r>
      <w:r>
        <w:rPr>
          <w:rFonts w:hint="eastAsia" w:ascii="仿宋_GB2312" w:hAnsi="仿宋_GB2312" w:eastAsia="仿宋_GB2312" w:cs="仿宋_GB2312"/>
          <w:sz w:val="32"/>
          <w:szCs w:val="32"/>
          <w:lang w:eastAsia="zh-CN"/>
        </w:rPr>
        <w:t>主动融入</w:t>
      </w:r>
      <w:r>
        <w:rPr>
          <w:rFonts w:hint="eastAsia" w:ascii="仿宋_GB2312" w:hAnsi="仿宋_GB2312" w:eastAsia="仿宋_GB2312" w:cs="仿宋_GB2312"/>
          <w:sz w:val="32"/>
          <w:szCs w:val="32"/>
        </w:rPr>
        <w:t>粤港澳大湾区、海西经济区和长三角区域</w:t>
      </w:r>
      <w:r>
        <w:rPr>
          <w:rFonts w:hint="eastAsia" w:ascii="仿宋_GB2312" w:hAnsi="仿宋_GB2312" w:eastAsia="仿宋_GB2312" w:cs="仿宋_GB2312"/>
          <w:sz w:val="32"/>
          <w:szCs w:val="32"/>
          <w:lang w:eastAsia="zh-CN"/>
        </w:rPr>
        <w:t>一体化发展，加强</w:t>
      </w:r>
      <w:r>
        <w:rPr>
          <w:rFonts w:hint="eastAsia" w:ascii="仿宋_GB2312" w:hAnsi="仿宋_GB2312" w:eastAsia="仿宋_GB2312" w:cs="仿宋_GB2312"/>
          <w:sz w:val="32"/>
          <w:szCs w:val="32"/>
        </w:rPr>
        <w:t>商贸物流基础设施规划建设和功能对接，依托粤苏皖赣-港澳-南亚国际物流大通道以及南昌昌北国际空港、南昌国际陆港、赣州国际陆港、九江江海直达航运中心等对外开放平台，推动口岸“三同”政策落实。常态化开行中欧班列、与各沿海港口的铁海联运班列以及国际国内货运航线航班，为我省机电产品、高新技术产品、电子信息与服装等主要出口商品开辟便捷贸易通道。争取将我省纳入全领域一体化改革试点，全面推进“两步申报”“提前申报”等便利化措施，提高通关效率。加快发展南昌、赣州、九江跨境电子商务综合试验区，支持“单一窗口”建设。</w:t>
      </w:r>
      <w:r>
        <w:rPr>
          <w:rFonts w:hint="eastAsia" w:ascii="楷体" w:hAnsi="楷体" w:eastAsia="楷体" w:cs="楷体"/>
          <w:sz w:val="32"/>
          <w:szCs w:val="32"/>
        </w:rPr>
        <w:t>(省商务厅、南昌海关、省发展改革委、省交通运输厅按职责分工负责)</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textAlignment w:val="auto"/>
        <w:rPr>
          <w:rFonts w:hint="eastAsia" w:ascii="楷体" w:hAnsi="楷体" w:eastAsia="楷体" w:cs="楷体"/>
          <w:sz w:val="32"/>
          <w:szCs w:val="32"/>
        </w:rPr>
      </w:pPr>
      <w:r>
        <w:rPr>
          <w:rFonts w:hint="eastAsia" w:ascii="楷体" w:hAnsi="楷体" w:eastAsia="楷体" w:cs="楷体"/>
          <w:b/>
          <w:bCs/>
          <w:kern w:val="0"/>
          <w:sz w:val="32"/>
          <w:szCs w:val="32"/>
          <w:lang w:bidi="ar"/>
        </w:rPr>
        <w:t>（三）建设城乡高效配送体系。</w:t>
      </w:r>
      <w:r>
        <w:rPr>
          <w:rFonts w:hint="eastAsia" w:ascii="仿宋_GB2312" w:hAnsi="仿宋_GB2312" w:eastAsia="仿宋_GB2312" w:cs="仿宋_GB2312"/>
          <w:sz w:val="32"/>
          <w:szCs w:val="32"/>
        </w:rPr>
        <w:t>合理规划布局城市综合物流配送中心(园区)和公共配送(分拨)中心,着力提升统一存储、集中分拣、共同配送等功能,不断</w:t>
      </w:r>
      <w:r>
        <w:rPr>
          <w:rFonts w:hint="eastAsia" w:ascii="仿宋_GB2312" w:hAnsi="仿宋_GB2312" w:eastAsia="仿宋_GB2312" w:cs="仿宋_GB2312"/>
          <w:sz w:val="32"/>
          <w:szCs w:val="32"/>
          <w:lang w:eastAsia="zh-CN"/>
        </w:rPr>
        <w:t>完善</w:t>
      </w:r>
      <w:r>
        <w:rPr>
          <w:rFonts w:hint="eastAsia" w:ascii="仿宋_GB2312" w:hAnsi="仿宋_GB2312" w:eastAsia="仿宋_GB2312" w:cs="仿宋_GB2312"/>
          <w:sz w:val="32"/>
          <w:szCs w:val="32"/>
        </w:rPr>
        <w:t>城市末端配送网点。引导快递网络与邮政普遍服务网络、农村交通、供销及商贸等资源整合，推广“互联网+第四方物流”供销集配模式，实现整合进村、聚合发展。巩固南昌、赣州、宜春、鹰潭等市城乡高效配送试点成果，</w:t>
      </w:r>
      <w:r>
        <w:rPr>
          <w:rFonts w:hint="eastAsia" w:ascii="仿宋_GB2312" w:hAnsi="仿宋_GB2312" w:eastAsia="仿宋_GB2312" w:cs="仿宋_GB2312"/>
          <w:sz w:val="32"/>
          <w:szCs w:val="32"/>
          <w:lang w:eastAsia="zh-CN"/>
        </w:rPr>
        <w:t>鼓励发展</w:t>
      </w:r>
      <w:r>
        <w:rPr>
          <w:rFonts w:hint="eastAsia" w:ascii="仿宋_GB2312" w:hAnsi="仿宋_GB2312" w:eastAsia="仿宋_GB2312" w:cs="仿宋_GB2312"/>
          <w:sz w:val="32"/>
          <w:szCs w:val="32"/>
        </w:rPr>
        <w:t>为批发市场提供的统仓共配、商业连锁企业的共同配送、县域物流中心集中配送、中央大厨房团餐配送、“公交物流专线”带货等</w:t>
      </w:r>
      <w:r>
        <w:rPr>
          <w:rFonts w:hint="eastAsia" w:ascii="仿宋_GB2312" w:hAnsi="仿宋_GB2312" w:eastAsia="仿宋_GB2312" w:cs="仿宋_GB2312"/>
          <w:sz w:val="32"/>
          <w:szCs w:val="32"/>
          <w:lang w:eastAsia="zh-CN"/>
        </w:rPr>
        <w:t>新</w:t>
      </w:r>
      <w:r>
        <w:rPr>
          <w:rFonts w:hint="eastAsia" w:ascii="仿宋_GB2312" w:hAnsi="仿宋_GB2312" w:eastAsia="仿宋_GB2312" w:cs="仿宋_GB2312"/>
          <w:sz w:val="32"/>
          <w:szCs w:val="32"/>
        </w:rPr>
        <w:t>配送模式。引导连锁零售企业、电商企业加快向农村地区下沉渠道和服务，扩大农村电商覆盖范围。</w:t>
      </w:r>
      <w:r>
        <w:rPr>
          <w:rFonts w:hint="eastAsia" w:ascii="仿宋_GB2312" w:hAnsi="仿宋_GB2312" w:eastAsia="仿宋_GB2312" w:cs="仿宋_GB2312"/>
          <w:sz w:val="32"/>
          <w:szCs w:val="32"/>
          <w:lang w:eastAsia="zh-CN"/>
        </w:rPr>
        <w:t>推动</w:t>
      </w:r>
      <w:r>
        <w:rPr>
          <w:rFonts w:hint="eastAsia" w:ascii="仿宋_GB2312" w:hAnsi="仿宋_GB2312" w:eastAsia="仿宋_GB2312" w:cs="仿宋_GB2312"/>
          <w:sz w:val="32"/>
          <w:szCs w:val="32"/>
        </w:rPr>
        <w:t>城市配送车辆通行</w:t>
      </w:r>
      <w:r>
        <w:rPr>
          <w:rFonts w:hint="eastAsia" w:ascii="仿宋_GB2312" w:hAnsi="仿宋_GB2312" w:eastAsia="仿宋_GB2312" w:cs="仿宋_GB2312"/>
          <w:sz w:val="32"/>
          <w:szCs w:val="32"/>
          <w:lang w:eastAsia="zh-CN"/>
        </w:rPr>
        <w:t>便利化</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推广</w:t>
      </w:r>
      <w:r>
        <w:rPr>
          <w:rFonts w:hint="eastAsia" w:ascii="仿宋_GB2312" w:hAnsi="仿宋_GB2312" w:eastAsia="仿宋_GB2312" w:cs="仿宋_GB2312"/>
          <w:sz w:val="32"/>
          <w:szCs w:val="32"/>
        </w:rPr>
        <w:t>城市配送车辆通行许可证</w:t>
      </w:r>
      <w:r>
        <w:rPr>
          <w:rFonts w:hint="eastAsia" w:ascii="仿宋_GB2312" w:hAnsi="仿宋_GB2312" w:eastAsia="仿宋_GB2312" w:cs="仿宋_GB2312"/>
          <w:sz w:val="32"/>
          <w:szCs w:val="32"/>
          <w:lang w:eastAsia="zh-CN"/>
        </w:rPr>
        <w:t>网上申领</w:t>
      </w:r>
      <w:r>
        <w:rPr>
          <w:rFonts w:hint="eastAsia" w:ascii="仿宋_GB2312" w:hAnsi="仿宋_GB2312" w:eastAsia="仿宋_GB2312" w:cs="仿宋_GB2312"/>
          <w:sz w:val="32"/>
          <w:szCs w:val="32"/>
        </w:rPr>
        <w:t>办法,推动城乡配送车辆“统一车型、统一标识、统一管理、统一标准”。</w:t>
      </w:r>
      <w:r>
        <w:rPr>
          <w:rFonts w:hint="eastAsia" w:ascii="楷体" w:hAnsi="楷体" w:eastAsia="楷体" w:cs="楷体"/>
          <w:sz w:val="32"/>
          <w:szCs w:val="32"/>
        </w:rPr>
        <w:t xml:space="preserve"> (省商务厅、省交通运输厅、省邮政管理局、省供销联社按职责分工负责)</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textAlignment w:val="auto"/>
        <w:rPr>
          <w:rFonts w:hint="eastAsia" w:ascii="楷体" w:hAnsi="楷体" w:eastAsia="楷体" w:cs="楷体"/>
          <w:kern w:val="2"/>
          <w:sz w:val="32"/>
          <w:szCs w:val="32"/>
        </w:rPr>
      </w:pPr>
      <w:r>
        <w:rPr>
          <w:rFonts w:hint="eastAsia" w:ascii="楷体" w:hAnsi="楷体" w:eastAsia="楷体" w:cs="楷体"/>
          <w:b/>
          <w:bCs/>
          <w:sz w:val="32"/>
          <w:szCs w:val="32"/>
          <w:lang w:bidi="ar"/>
        </w:rPr>
        <w:t>（四）提升商贸物流标准化水平。</w:t>
      </w:r>
      <w:r>
        <w:rPr>
          <w:rFonts w:hint="eastAsia" w:ascii="仿宋_GB2312" w:hAnsi="仿宋_GB2312" w:eastAsia="仿宋_GB2312" w:cs="仿宋_GB2312"/>
          <w:sz w:val="32"/>
          <w:szCs w:val="32"/>
        </w:rPr>
        <w:t>加强商贸物流相关国家标准、行业标准、地方标准的培训和宣贯实施工作，结合实际制订符合我省实际的地方标准，鼓励社会团体和企业制定要求更严、水平更高的团体标准和企业标准。</w:t>
      </w:r>
      <w:r>
        <w:rPr>
          <w:rFonts w:hint="eastAsia" w:ascii="仿宋_GB2312" w:hAnsi="仿宋_GB2312" w:eastAsia="仿宋_GB2312" w:cs="仿宋_GB2312"/>
          <w:sz w:val="32"/>
          <w:szCs w:val="32"/>
          <w:lang w:val="en"/>
        </w:rPr>
        <w:t>加快标准托盘（</w:t>
      </w:r>
      <w:r>
        <w:rPr>
          <w:rFonts w:hint="eastAsia" w:ascii="仿宋_GB2312" w:hAnsi="仿宋_GB2312" w:eastAsia="仿宋_GB2312" w:cs="仿宋_GB2312"/>
          <w:sz w:val="32"/>
          <w:szCs w:val="32"/>
        </w:rPr>
        <w:t>1200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×1000</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
        </w:rPr>
        <w:t>）、标准周转箱（筐）等物流载具推广应用，支持叉车、货架、月台、运输车辆等上下游物流设备设施标准化改造。应用全球统一编码标识（</w:t>
      </w:r>
      <w:r>
        <w:rPr>
          <w:rFonts w:hint="eastAsia" w:ascii="仿宋_GB2312" w:hAnsi="仿宋_GB2312" w:eastAsia="仿宋_GB2312" w:cs="仿宋_GB2312"/>
          <w:sz w:val="32"/>
          <w:szCs w:val="32"/>
        </w:rPr>
        <w:t>GSI</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,拓展标准托盘、</w:t>
      </w:r>
      <w:r>
        <w:rPr>
          <w:rFonts w:hint="eastAsia" w:ascii="仿宋_GB2312" w:hAnsi="仿宋_GB2312" w:eastAsia="仿宋_GB2312" w:cs="仿宋_GB2312"/>
          <w:sz w:val="32"/>
          <w:szCs w:val="32"/>
          <w:lang w:val="en"/>
        </w:rPr>
        <w:t>周转箱（筐）信息承载功能，鼓励标准托盘租赁和交换，鼓励带板运输，探索构建开放式标准托盘、周转箱（筐）循环共用体系。</w:t>
      </w:r>
      <w:r>
        <w:rPr>
          <w:rFonts w:hint="eastAsia" w:ascii="楷体" w:hAnsi="楷体" w:eastAsia="楷体" w:cs="楷体"/>
          <w:kern w:val="2"/>
          <w:sz w:val="32"/>
          <w:szCs w:val="32"/>
        </w:rPr>
        <w:t>（省商务厅、省市场监管局、省交通运输厅、省邮政管理局按职责分工负责）</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textAlignment w:val="auto"/>
        <w:rPr>
          <w:rFonts w:ascii="仿宋_GB2312" w:hAnsi="仿宋_GB2312" w:eastAsia="仿宋_GB2312" w:cs="仿宋_GB2312"/>
          <w:sz w:val="32"/>
          <w:szCs w:val="32"/>
          <w:lang w:val="en"/>
        </w:rPr>
      </w:pPr>
      <w:r>
        <w:rPr>
          <w:rFonts w:hint="eastAsia" w:ascii="楷体" w:hAnsi="楷体" w:eastAsia="楷体" w:cs="楷体"/>
          <w:b/>
          <w:bCs/>
          <w:sz w:val="32"/>
          <w:szCs w:val="32"/>
          <w:lang w:bidi="ar"/>
        </w:rPr>
        <w:t>（五）推广现代信息技术应用。</w:t>
      </w:r>
      <w:r>
        <w:rPr>
          <w:rFonts w:hint="eastAsia" w:ascii="仿宋_GB2312" w:hAnsi="仿宋_GB2312" w:eastAsia="仿宋_GB2312" w:cs="仿宋_GB2312"/>
          <w:sz w:val="32"/>
          <w:szCs w:val="32"/>
          <w:lang w:val="en"/>
        </w:rPr>
        <w:t>深入实施</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互联网</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高效物流行动，构建多层次物流信息服务平台，促进从上游供应商到下游销售商的全流程信息共享。推广应用物联网、云计算、大数据、人工智能、机器人、无线射频识别等先进技术装备，鼓励仓储企业建设智能化立体仓库，扩大自动分拣、快速分拣、智能配货等仓储物流技术的应用范围。鼓励配送企业统一安装具有导航定位、运力资源调配、全程揽派货物、实时路径规划等功能的智能车载设备，实现对物流配送车辆、人员、环境及安全、温控等要素的实时监控和反馈。推广智能信报箱、智能快件箱等收投终端和无人机、无人车、智运快线等先进配送技术的应用，推动新零售背景下末端配送的</w:t>
      </w:r>
      <w:r>
        <w:rPr>
          <w:rFonts w:hint="eastAsia" w:ascii="仿宋_GB2312" w:hAnsi="仿宋_GB2312" w:eastAsia="仿宋_GB2312" w:cs="仿宋_GB2312"/>
          <w:sz w:val="32"/>
          <w:szCs w:val="32"/>
        </w:rPr>
        <w:t>智能化改造</w:t>
      </w:r>
      <w:r>
        <w:rPr>
          <w:rFonts w:hint="eastAsia" w:ascii="仿宋_GB2312" w:hAnsi="仿宋_GB2312" w:eastAsia="仿宋_GB2312" w:cs="仿宋_GB2312"/>
          <w:sz w:val="32"/>
          <w:szCs w:val="32"/>
          <w:lang w:val="en"/>
        </w:rPr>
        <w:t>。</w:t>
      </w:r>
      <w:r>
        <w:rPr>
          <w:rFonts w:hint="eastAsia" w:ascii="楷体" w:hAnsi="楷体" w:eastAsia="楷体" w:cs="楷体"/>
          <w:kern w:val="2"/>
          <w:sz w:val="32"/>
          <w:szCs w:val="32"/>
          <w:lang w:val="en"/>
        </w:rPr>
        <w:t>（</w:t>
      </w:r>
      <w:r>
        <w:rPr>
          <w:rFonts w:hint="eastAsia" w:ascii="楷体" w:hAnsi="楷体" w:eastAsia="楷体" w:cs="楷体"/>
          <w:kern w:val="2"/>
          <w:sz w:val="32"/>
          <w:szCs w:val="32"/>
        </w:rPr>
        <w:t>省商务厅、省交通运输厅、省住房城乡建设厅、省邮政管理局按职责分工负责</w:t>
      </w:r>
      <w:r>
        <w:rPr>
          <w:rFonts w:hint="eastAsia" w:ascii="楷体" w:hAnsi="楷体" w:eastAsia="楷体" w:cs="楷体"/>
          <w:kern w:val="2"/>
          <w:sz w:val="32"/>
          <w:szCs w:val="32"/>
          <w:lang w:val="en"/>
        </w:rPr>
        <w:t>）</w:t>
      </w:r>
    </w:p>
    <w:p>
      <w:pPr>
        <w:pStyle w:val="6"/>
        <w:keepNext w:val="0"/>
        <w:keepLines w:val="0"/>
        <w:pageBreakBefore w:val="0"/>
        <w:widowControl/>
        <w:shd w:val="clear" w:color="auto" w:fill="FFFFFF"/>
        <w:kinsoku/>
        <w:overflowPunct/>
        <w:topLinePunct w:val="0"/>
        <w:bidi w:val="0"/>
        <w:spacing w:line="560" w:lineRule="exact"/>
        <w:ind w:firstLine="642" w:firstLineChars="200"/>
        <w:jc w:val="left"/>
        <w:textAlignment w:val="auto"/>
        <w:rPr>
          <w:rFonts w:ascii="仿宋_GB2312" w:hAnsi="仿宋_GB2312" w:eastAsia="仿宋_GB2312" w:cs="仿宋_GB2312"/>
          <w:kern w:val="0"/>
          <w:sz w:val="32"/>
          <w:szCs w:val="32"/>
          <w:lang w:bidi="ar"/>
        </w:rPr>
      </w:pPr>
      <w:r>
        <w:rPr>
          <w:rFonts w:hint="eastAsia" w:ascii="楷体" w:hAnsi="楷体" w:eastAsia="楷体" w:cs="楷体"/>
          <w:b/>
          <w:bCs/>
          <w:kern w:val="0"/>
          <w:sz w:val="32"/>
          <w:szCs w:val="32"/>
          <w:lang w:bidi="ar"/>
        </w:rPr>
        <w:t>（六）加快冷链物流发展。</w:t>
      </w:r>
      <w:r>
        <w:rPr>
          <w:rFonts w:hint="eastAsia" w:ascii="仿宋_GB2312" w:hAnsi="仿宋_GB2312" w:eastAsia="仿宋_GB2312" w:cs="仿宋_GB2312"/>
          <w:kern w:val="0"/>
          <w:sz w:val="32"/>
          <w:szCs w:val="32"/>
          <w:lang w:bidi="ar"/>
        </w:rPr>
        <w:t>加强冷链物流规划，</w:t>
      </w:r>
      <w:r>
        <w:rPr>
          <w:rFonts w:hint="eastAsia" w:ascii="仿宋_GB2312" w:hAnsi="仿宋_GB2312" w:eastAsia="仿宋_GB2312" w:cs="仿宋_GB2312"/>
          <w:kern w:val="0"/>
          <w:sz w:val="32"/>
          <w:szCs w:val="32"/>
          <w:lang w:val="en" w:bidi="ar"/>
        </w:rPr>
        <w:t>支持南昌、上饶、鹰潭、吉安、宜春等地积极申报国家骨干冷链物流基地，推进全省城乡冷链物流骨干网建设，加快南昌肉类联合加工厂冷链物流中心、赣州冷链物流中心（二期）、江天农博城、景德镇冷链农产品物流园等项目建设，构建以物流枢纽和物流园区为支撑的冷链物流</w:t>
      </w:r>
      <w:r>
        <w:rPr>
          <w:rFonts w:hint="eastAsia" w:ascii="仿宋_GB2312" w:hAnsi="仿宋_GB2312" w:eastAsia="仿宋_GB2312" w:cs="仿宋_GB2312"/>
          <w:kern w:val="0"/>
          <w:sz w:val="32"/>
          <w:szCs w:val="32"/>
          <w:lang w:val="en" w:eastAsia="zh-CN" w:bidi="ar"/>
        </w:rPr>
        <w:t>网络</w:t>
      </w:r>
      <w:r>
        <w:rPr>
          <w:rFonts w:hint="eastAsia" w:ascii="仿宋_GB2312" w:hAnsi="仿宋_GB2312" w:eastAsia="仿宋_GB2312" w:cs="仿宋_GB2312"/>
          <w:kern w:val="0"/>
          <w:sz w:val="32"/>
          <w:szCs w:val="32"/>
          <w:lang w:val="en" w:bidi="ar"/>
        </w:rPr>
        <w:t>。</w:t>
      </w:r>
      <w:r>
        <w:rPr>
          <w:rFonts w:hint="eastAsia" w:ascii="仿宋_GB2312" w:hAnsi="仿宋_GB2312" w:eastAsia="仿宋_GB2312" w:cs="仿宋_GB2312"/>
          <w:sz w:val="32"/>
          <w:szCs w:val="32"/>
        </w:rPr>
        <w:t>依托农副产品生产加工基地和批发市场、国家指定进境口岸和海关特殊监管区,建设</w:t>
      </w:r>
      <w:r>
        <w:rPr>
          <w:rFonts w:hint="eastAsia" w:ascii="仿宋_GB2312" w:hAnsi="仿宋_GB2312" w:eastAsia="仿宋_GB2312" w:cs="仿宋_GB2312"/>
          <w:sz w:val="32"/>
          <w:szCs w:val="32"/>
          <w:lang w:eastAsia="zh-CN"/>
        </w:rPr>
        <w:t>农产品产地仓储保鲜、</w:t>
      </w:r>
      <w:r>
        <w:rPr>
          <w:rFonts w:hint="eastAsia" w:ascii="仿宋_GB2312" w:hAnsi="仿宋_GB2312" w:eastAsia="仿宋_GB2312" w:cs="仿宋_GB2312"/>
          <w:sz w:val="32"/>
          <w:szCs w:val="32"/>
        </w:rPr>
        <w:t>流通型冷库等冷链仓储配送设施。</w:t>
      </w:r>
      <w:r>
        <w:rPr>
          <w:rFonts w:hint="eastAsia" w:ascii="仿宋_GB2312" w:hAnsi="仿宋_GB2312" w:eastAsia="仿宋_GB2312" w:cs="仿宋_GB2312"/>
          <w:kern w:val="0"/>
          <w:sz w:val="32"/>
          <w:szCs w:val="32"/>
          <w:lang w:val="en" w:bidi="ar"/>
        </w:rPr>
        <w:t>加强冷链自提柜、储藏柜、社区配送站等末端</w:t>
      </w:r>
      <w:r>
        <w:rPr>
          <w:rFonts w:hint="eastAsia" w:ascii="仿宋_GB2312" w:hAnsi="仿宋_GB2312" w:eastAsia="仿宋_GB2312" w:cs="仿宋_GB2312"/>
          <w:kern w:val="0"/>
          <w:sz w:val="32"/>
          <w:szCs w:val="32"/>
          <w:lang w:val="en" w:eastAsia="zh-CN" w:bidi="ar"/>
        </w:rPr>
        <w:t>网</w:t>
      </w:r>
      <w:r>
        <w:rPr>
          <w:rFonts w:hint="eastAsia" w:ascii="仿宋_GB2312" w:hAnsi="仿宋_GB2312" w:eastAsia="仿宋_GB2312" w:cs="仿宋_GB2312"/>
          <w:kern w:val="0"/>
          <w:sz w:val="32"/>
          <w:szCs w:val="32"/>
          <w:lang w:val="en" w:bidi="ar"/>
        </w:rPr>
        <w:t>点建设，推广冷藏箱、保温周转箱、箱体蓄冷等</w:t>
      </w:r>
      <w:r>
        <w:rPr>
          <w:rFonts w:hint="eastAsia" w:ascii="仿宋_GB2312" w:hAnsi="仿宋_GB2312" w:eastAsia="仿宋_GB2312" w:cs="仿宋_GB2312"/>
          <w:kern w:val="0"/>
          <w:sz w:val="32"/>
          <w:szCs w:val="32"/>
          <w:lang w:val="en" w:eastAsia="zh-CN" w:bidi="ar"/>
        </w:rPr>
        <w:t>冷链</w:t>
      </w:r>
      <w:r>
        <w:rPr>
          <w:rFonts w:hint="eastAsia" w:ascii="仿宋_GB2312" w:hAnsi="仿宋_GB2312" w:eastAsia="仿宋_GB2312" w:cs="仿宋_GB2312"/>
          <w:kern w:val="0"/>
          <w:sz w:val="32"/>
          <w:szCs w:val="32"/>
          <w:lang w:val="en" w:bidi="ar"/>
        </w:rPr>
        <w:t>设备和技术，大力发展城市“最后一公里”低温配送。</w:t>
      </w:r>
      <w:r>
        <w:rPr>
          <w:rFonts w:hint="eastAsia" w:ascii="仿宋_GB2312" w:hAnsi="仿宋_GB2312" w:eastAsia="仿宋_GB2312" w:cs="仿宋_GB2312"/>
          <w:kern w:val="0"/>
          <w:sz w:val="32"/>
          <w:szCs w:val="32"/>
          <w:lang w:bidi="ar"/>
        </w:rPr>
        <w:t>鼓励有条件的企业发展冷链物流智能监控与追溯平台，建立全程冷链配送系统。</w:t>
      </w:r>
      <w:r>
        <w:rPr>
          <w:rFonts w:hint="eastAsia" w:ascii="楷体" w:hAnsi="楷体" w:eastAsia="楷体" w:cs="楷体"/>
          <w:sz w:val="32"/>
          <w:szCs w:val="32"/>
          <w:lang w:val="en"/>
        </w:rPr>
        <w:t>（省发展改革委、</w:t>
      </w:r>
      <w:r>
        <w:rPr>
          <w:rFonts w:hint="eastAsia" w:ascii="楷体" w:hAnsi="楷体" w:eastAsia="楷体" w:cs="楷体"/>
          <w:sz w:val="32"/>
          <w:szCs w:val="32"/>
        </w:rPr>
        <w:t>省商务厅、</w:t>
      </w:r>
      <w:r>
        <w:rPr>
          <w:rFonts w:hint="eastAsia" w:ascii="楷体" w:hAnsi="楷体" w:eastAsia="楷体" w:cs="楷体"/>
          <w:sz w:val="32"/>
          <w:szCs w:val="32"/>
          <w:lang w:eastAsia="zh-CN"/>
        </w:rPr>
        <w:t>省农业农村厅、</w:t>
      </w:r>
      <w:r>
        <w:rPr>
          <w:rFonts w:hint="eastAsia" w:ascii="楷体" w:hAnsi="楷体" w:eastAsia="楷体" w:cs="楷体"/>
          <w:sz w:val="32"/>
          <w:szCs w:val="32"/>
        </w:rPr>
        <w:t>省交通运输厅、省供销联社按职责分工负责</w:t>
      </w:r>
      <w:r>
        <w:rPr>
          <w:rFonts w:hint="eastAsia" w:ascii="楷体" w:hAnsi="楷体" w:eastAsia="楷体" w:cs="楷体"/>
          <w:sz w:val="32"/>
          <w:szCs w:val="32"/>
          <w:lang w:val="en"/>
        </w:rPr>
        <w:t>）</w:t>
      </w:r>
    </w:p>
    <w:p>
      <w:pPr>
        <w:keepNext w:val="0"/>
        <w:keepLines w:val="0"/>
        <w:pageBreakBefore w:val="0"/>
        <w:kinsoku/>
        <w:overflowPunct/>
        <w:topLinePunct w:val="0"/>
        <w:bidi w:val="0"/>
        <w:spacing w:line="560" w:lineRule="exact"/>
        <w:ind w:firstLine="643"/>
        <w:textAlignment w:val="auto"/>
        <w:rPr>
          <w:rFonts w:hint="eastAsia" w:ascii="楷体" w:hAnsi="楷体" w:eastAsia="楷体" w:cs="楷体"/>
          <w:sz w:val="32"/>
          <w:szCs w:val="32"/>
        </w:rPr>
      </w:pPr>
      <w:r>
        <w:rPr>
          <w:rFonts w:hint="eastAsia" w:ascii="楷体" w:hAnsi="楷体" w:eastAsia="楷体" w:cs="楷体"/>
          <w:b/>
          <w:bCs/>
          <w:kern w:val="0"/>
          <w:sz w:val="32"/>
          <w:szCs w:val="32"/>
          <w:lang w:bidi="ar"/>
        </w:rPr>
        <w:t>（七）推动商贸物流绿色低碳发展。</w:t>
      </w:r>
      <w:r>
        <w:rPr>
          <w:rFonts w:hint="eastAsia" w:ascii="仿宋_GB2312" w:hAnsi="仿宋_GB2312" w:eastAsia="仿宋_GB2312" w:cs="仿宋_GB2312"/>
          <w:sz w:val="32"/>
          <w:szCs w:val="32"/>
        </w:rPr>
        <w:t>建设绿色仓储,加大绿色仓库国家标准推广力度,重点推广绿色建筑材料、仓库屋顶光伏发电、冷库节能技术、节能照明灯具、电动叉车等新材料、新技术、新设备。发展绿色运输,鼓励采用电动汽车、气体燃料汽车等新能源、清洁能源车辆，支持南昌、赣州、上饶等地创建绿色货运配送示范工程。推广绿色包装,鼓励创新包装设计,支持使用标准化、减量化和可降解包装材料,推广单元包装、无包装模式,减少过度包装和二次包装。加快构建新型再生资源回收体系,支持建设绿色分拣中心,提高再生资源收集、仓储、分拣、打包、加工能力,提升再生资源回收网络化、专业化、信息化发展水平。</w:t>
      </w:r>
      <w:r>
        <w:rPr>
          <w:rFonts w:hint="eastAsia" w:ascii="楷体" w:hAnsi="楷体" w:eastAsia="楷体" w:cs="楷体"/>
          <w:sz w:val="32"/>
          <w:szCs w:val="32"/>
        </w:rPr>
        <w:t>(省商务厅、省发展改革委、省交通运输厅、省邮政管理局按职责分工负责)</w:t>
      </w:r>
    </w:p>
    <w:p>
      <w:pPr>
        <w:keepNext w:val="0"/>
        <w:keepLines w:val="0"/>
        <w:pageBreakBefore w:val="0"/>
        <w:kinsoku/>
        <w:overflowPunct/>
        <w:topLinePunct w:val="0"/>
        <w:bidi w:val="0"/>
        <w:spacing w:line="560" w:lineRule="exact"/>
        <w:ind w:firstLine="643"/>
        <w:textAlignment w:val="auto"/>
        <w:rPr>
          <w:rFonts w:hint="eastAsia" w:ascii="楷体" w:hAnsi="楷体" w:eastAsia="楷体" w:cs="楷体"/>
          <w:sz w:val="32"/>
          <w:szCs w:val="32"/>
        </w:rPr>
      </w:pPr>
      <w:r>
        <w:rPr>
          <w:rFonts w:hint="eastAsia" w:ascii="楷体" w:hAnsi="楷体" w:eastAsia="楷体" w:cs="楷体"/>
          <w:b/>
          <w:bCs/>
          <w:kern w:val="0"/>
          <w:sz w:val="32"/>
          <w:szCs w:val="32"/>
          <w:lang w:bidi="ar"/>
        </w:rPr>
        <w:t>（八）壮大商贸物流市场主体。</w:t>
      </w:r>
      <w:r>
        <w:rPr>
          <w:rFonts w:hint="eastAsia" w:ascii="仿宋_GB2312" w:hAnsi="仿宋_GB2312" w:eastAsia="仿宋_GB2312" w:cs="仿宋_GB2312"/>
          <w:sz w:val="32"/>
          <w:szCs w:val="32"/>
        </w:rPr>
        <w:t>支持和鼓励符合条件的商贸企业、物流企业通过兼并重组、上市融资、联盟合作等方式优化整合资源、扩大业务规模，开展技术创新和商业模式创新。</w:t>
      </w:r>
      <w:r>
        <w:rPr>
          <w:rFonts w:hint="eastAsia" w:ascii="仿宋_GB2312" w:hAnsi="仿宋_GB2312" w:eastAsia="仿宋_GB2312" w:cs="仿宋_GB2312"/>
          <w:sz w:val="32"/>
          <w:szCs w:val="32"/>
          <w:lang w:eastAsia="zh-CN"/>
        </w:rPr>
        <w:t>在连锁商超、城乡配送、综合物流、国际货运代理、供应链服务、冷链物流等领域培育一批核心竞争力强、服务水平高、品牌影响力大的商贸物流骨干企业。</w:t>
      </w:r>
      <w:r>
        <w:rPr>
          <w:rFonts w:hint="eastAsia" w:eastAsia="仿宋_GB2312"/>
          <w:color w:val="000000"/>
          <w:kern w:val="0"/>
          <w:sz w:val="32"/>
          <w:szCs w:val="32"/>
        </w:rPr>
        <w:t>积极引进</w:t>
      </w:r>
      <w:r>
        <w:rPr>
          <w:rFonts w:hint="eastAsia" w:ascii="宋体" w:hAnsi="宋体" w:eastAsia="仿宋_GB2312" w:cs="宋体"/>
          <w:color w:val="000000"/>
          <w:kern w:val="0"/>
          <w:sz w:val="32"/>
          <w:szCs w:val="32"/>
          <w:lang w:val="en-US" w:eastAsia="zh-CN" w:bidi="ar"/>
        </w:rPr>
        <w:t>具有世界500强背景、物流50强企业和4A级以上国内外知名物流企业来赣投资兴业，</w:t>
      </w:r>
      <w:r>
        <w:rPr>
          <w:rFonts w:hint="eastAsia" w:ascii="仿宋_GB2312" w:hAnsi="仿宋_GB2312" w:eastAsia="仿宋_GB2312" w:cs="仿宋_GB2312"/>
          <w:sz w:val="32"/>
          <w:szCs w:val="32"/>
        </w:rPr>
        <w:t>推动我省更多物流企业进入全国物流50强或民营物流50强、物流细分领域领军企业。持续开展重点商贸物流园区（中心）和企业认定，培育一批商贸物流产业链“链主”型企业。</w:t>
      </w:r>
      <w:r>
        <w:rPr>
          <w:rFonts w:hint="eastAsia" w:ascii="楷体" w:hAnsi="楷体" w:eastAsia="楷体" w:cs="楷体"/>
          <w:sz w:val="32"/>
          <w:szCs w:val="32"/>
        </w:rPr>
        <w:t>（省商务厅、省发展改革委、省交通运输厅按职责分工负责）</w:t>
      </w:r>
    </w:p>
    <w:p>
      <w:pPr>
        <w:keepNext w:val="0"/>
        <w:keepLines w:val="0"/>
        <w:pageBreakBefore w:val="0"/>
        <w:kinsoku/>
        <w:overflowPunct/>
        <w:topLinePunct w:val="0"/>
        <w:bidi w:val="0"/>
        <w:spacing w:line="560" w:lineRule="exact"/>
        <w:ind w:firstLine="642" w:firstLineChars="200"/>
        <w:textAlignment w:val="auto"/>
        <w:rPr>
          <w:rFonts w:hint="eastAsia" w:ascii="楷体" w:hAnsi="楷体" w:eastAsia="楷体" w:cs="楷体"/>
          <w:sz w:val="32"/>
          <w:szCs w:val="32"/>
        </w:rPr>
      </w:pPr>
      <w:r>
        <w:rPr>
          <w:rFonts w:hint="eastAsia" w:ascii="楷体" w:hAnsi="楷体" w:eastAsia="楷体" w:cs="楷体"/>
          <w:b/>
          <w:bCs/>
          <w:kern w:val="0"/>
          <w:sz w:val="32"/>
          <w:szCs w:val="32"/>
          <w:lang w:bidi="ar"/>
        </w:rPr>
        <w:t>（九）提升供应链物流管理水平。</w:t>
      </w:r>
      <w:r>
        <w:rPr>
          <w:rFonts w:hint="eastAsia" w:ascii="仿宋_GB2312" w:hAnsi="仿宋_GB2312" w:eastAsia="仿宋_GB2312" w:cs="仿宋_GB2312"/>
          <w:sz w:val="32"/>
          <w:szCs w:val="32"/>
        </w:rPr>
        <w:t>推动农产品批发市场提升产销衔接、统仓统配等功能,支持大型商场超市、冷链物流企业开展供销合作、农超对接。以物流园区、商品市场和连锁企业为</w:t>
      </w:r>
      <w:r>
        <w:rPr>
          <w:rFonts w:hint="eastAsia" w:ascii="仿宋_GB2312" w:hAnsi="仿宋_GB2312" w:eastAsia="仿宋_GB2312" w:cs="仿宋_GB2312"/>
          <w:sz w:val="32"/>
          <w:szCs w:val="32"/>
          <w:lang w:eastAsia="zh-CN"/>
        </w:rPr>
        <w:t>依托</w:t>
      </w:r>
      <w:r>
        <w:rPr>
          <w:rFonts w:hint="eastAsia" w:ascii="仿宋_GB2312" w:hAnsi="仿宋_GB2312" w:eastAsia="仿宋_GB2312" w:cs="仿宋_GB2312"/>
          <w:sz w:val="32"/>
          <w:szCs w:val="32"/>
        </w:rPr>
        <w:t>,优化供需对接、集中采购、统管库存、支付结算、物流配送等功能,提高供应链敏捷反应、自动补货及资源共享能力。推动专业物流企业发展原材料与零部件代理采购、库存控制、线边服务和批发分销等业务,培育一批供应链生产型服务企业。支持消费品供应链上下游企业实行专业化分工、柔性化定制、精准化生产,快速响应客户需求,缩短生产周期和新品上市时间,降低生产经营和交易成本。</w:t>
      </w:r>
      <w:r>
        <w:rPr>
          <w:rFonts w:hint="eastAsia" w:ascii="仿宋_GB2312" w:hAnsi="仿宋_GB2312" w:eastAsia="仿宋_GB2312" w:cs="仿宋_GB2312"/>
          <w:sz w:val="32"/>
          <w:szCs w:val="32"/>
          <w:lang w:eastAsia="zh-CN"/>
        </w:rPr>
        <w:t>鼓励金融机构与商贸企业、物流企业加强信息共享，规范发展供应链存货、仓单、订单融资。</w:t>
      </w:r>
      <w:r>
        <w:rPr>
          <w:rFonts w:hint="eastAsia" w:ascii="楷体" w:hAnsi="楷体" w:eastAsia="楷体" w:cs="楷体"/>
          <w:sz w:val="32"/>
          <w:szCs w:val="32"/>
        </w:rPr>
        <w:t>(省商务厅、省发展改革委、人行南昌中心支行按职责分工负责)</w:t>
      </w:r>
    </w:p>
    <w:p>
      <w:pPr>
        <w:pStyle w:val="7"/>
        <w:keepNext w:val="0"/>
        <w:keepLines w:val="0"/>
        <w:pageBreakBefore w:val="0"/>
        <w:kinsoku/>
        <w:wordWrap w:val="0"/>
        <w:overflowPunct/>
        <w:topLinePunct w:val="0"/>
        <w:bidi w:val="0"/>
        <w:spacing w:before="0" w:beforeAutospacing="0" w:after="0" w:afterAutospacing="0" w:line="560" w:lineRule="exact"/>
        <w:jc w:val="both"/>
        <w:textAlignment w:val="auto"/>
        <w:rPr>
          <w:rFonts w:hint="eastAsia" w:ascii="黑体" w:hAnsi="黑体" w:eastAsia="黑体" w:cs="黑体"/>
          <w:sz w:val="32"/>
          <w:szCs w:val="32"/>
          <w:lang w:val="en"/>
        </w:rPr>
      </w:pPr>
      <w:r>
        <w:rPr>
          <w:rFonts w:hint="eastAsia" w:ascii="楷体" w:hAnsi="楷体" w:eastAsia="楷体" w:cs="楷体"/>
          <w:b/>
          <w:bCs/>
          <w:sz w:val="32"/>
          <w:szCs w:val="32"/>
          <w:lang w:bidi="ar"/>
        </w:rPr>
        <w:t xml:space="preserve">    </w:t>
      </w:r>
      <w:r>
        <w:rPr>
          <w:rFonts w:hint="eastAsia" w:ascii="黑体" w:hAnsi="黑体" w:eastAsia="黑体" w:cs="黑体"/>
          <w:sz w:val="32"/>
          <w:szCs w:val="32"/>
        </w:rPr>
        <w:t xml:space="preserve"> 三、</w:t>
      </w:r>
      <w:r>
        <w:rPr>
          <w:rFonts w:hint="eastAsia" w:ascii="黑体" w:hAnsi="黑体" w:eastAsia="黑体" w:cs="黑体"/>
          <w:sz w:val="32"/>
          <w:szCs w:val="32"/>
          <w:lang w:val="en"/>
        </w:rPr>
        <w:t>保障措施</w:t>
      </w:r>
    </w:p>
    <w:p>
      <w:pPr>
        <w:keepNext w:val="0"/>
        <w:keepLines w:val="0"/>
        <w:pageBreakBefore w:val="0"/>
        <w:kinsoku/>
        <w:overflowPunct/>
        <w:topLinePunct w:val="0"/>
        <w:bidi w:val="0"/>
        <w:spacing w:line="560" w:lineRule="exact"/>
        <w:ind w:firstLine="642" w:firstLineChars="200"/>
        <w:textAlignment w:val="auto"/>
        <w:rPr>
          <w:rFonts w:hint="eastAsia" w:ascii="楷体" w:hAnsi="楷体" w:eastAsia="楷体" w:cs="楷体"/>
          <w:sz w:val="32"/>
          <w:szCs w:val="32"/>
        </w:rPr>
      </w:pPr>
      <w:r>
        <w:rPr>
          <w:rFonts w:hint="eastAsia" w:ascii="楷体" w:hAnsi="楷体" w:eastAsia="楷体" w:cs="楷体"/>
          <w:b/>
          <w:bCs/>
          <w:sz w:val="32"/>
          <w:szCs w:val="32"/>
        </w:rPr>
        <w:t>（一）加强推进调度。</w:t>
      </w:r>
      <w:r>
        <w:rPr>
          <w:rFonts w:hint="eastAsia" w:ascii="仿宋_GB2312" w:hAnsi="仿宋_GB2312" w:eastAsia="仿宋_GB2312" w:cs="仿宋_GB2312"/>
          <w:sz w:val="32"/>
          <w:szCs w:val="32"/>
        </w:rPr>
        <w:t>各有关部门要进一步深化认识，落实责任，结合实际明确目标任务和工作举措，各负其责，协同联动，全力推进我省商贸物流业降本增效工作。省商务厅会同有关部门加强组织实施工作，及时跟踪各项工作任务推进情况。各有关单位要对照职责任务和工作台账适时向牵头部门反馈工作进展情况。</w:t>
      </w:r>
      <w:r>
        <w:rPr>
          <w:rFonts w:hint="eastAsia" w:ascii="楷体" w:hAnsi="楷体" w:eastAsia="楷体" w:cs="楷体"/>
          <w:sz w:val="32"/>
          <w:szCs w:val="32"/>
        </w:rPr>
        <w:t>（省直各有关单位按职责分工负责）</w:t>
      </w:r>
    </w:p>
    <w:p>
      <w:pPr>
        <w:keepNext w:val="0"/>
        <w:keepLines w:val="0"/>
        <w:pageBreakBefore w:val="0"/>
        <w:kinsoku/>
        <w:overflowPunct/>
        <w:topLinePunct w:val="0"/>
        <w:bidi w:val="0"/>
        <w:spacing w:line="560" w:lineRule="exact"/>
        <w:ind w:firstLine="642" w:firstLineChars="200"/>
        <w:textAlignment w:val="auto"/>
        <w:rPr>
          <w:rFonts w:hint="eastAsia" w:ascii="楷体" w:hAnsi="楷体" w:eastAsia="楷体" w:cs="楷体"/>
          <w:sz w:val="32"/>
          <w:szCs w:val="32"/>
        </w:rPr>
      </w:pPr>
      <w:r>
        <w:rPr>
          <w:rFonts w:hint="eastAsia" w:ascii="楷体" w:hAnsi="楷体" w:eastAsia="楷体" w:cs="楷体"/>
          <w:b/>
          <w:bCs/>
          <w:sz w:val="32"/>
          <w:szCs w:val="32"/>
        </w:rPr>
        <w:t>（二）加大政策支持。</w:t>
      </w:r>
      <w:r>
        <w:rPr>
          <w:rFonts w:hint="eastAsia" w:ascii="仿宋_GB2312" w:hAnsi="仿宋_GB2312" w:eastAsia="仿宋_GB2312" w:cs="仿宋_GB2312"/>
          <w:sz w:val="32"/>
          <w:szCs w:val="32"/>
        </w:rPr>
        <w:t>完善物流设施用地规划，促进城市物流规划与国土空间规划相衔接，保障商贸物流基础设施用地需求。鼓励有条件的地方政府加大财政支持力度，引导社会资</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投入商贸物流高质量发展项目建设。引导银行业金融机构规范发展供应链金融、普惠金融，加大对中小微商贸物流企业的信贷支持。</w:t>
      </w:r>
      <w:r>
        <w:rPr>
          <w:rFonts w:hint="eastAsia" w:ascii="楷体" w:hAnsi="楷体" w:eastAsia="楷体" w:cs="楷体"/>
          <w:sz w:val="32"/>
          <w:szCs w:val="32"/>
        </w:rPr>
        <w:t>（省自然资源厅、省财政厅、人行南昌中心支行按职责分工负责）</w:t>
      </w:r>
    </w:p>
    <w:p>
      <w:pPr>
        <w:keepNext w:val="0"/>
        <w:keepLines w:val="0"/>
        <w:pageBreakBefore w:val="0"/>
        <w:kinsoku/>
        <w:overflowPunct/>
        <w:topLinePunct w:val="0"/>
        <w:bidi w:val="0"/>
        <w:spacing w:line="560" w:lineRule="exact"/>
        <w:ind w:firstLine="642" w:firstLineChars="200"/>
        <w:textAlignment w:val="auto"/>
        <w:rPr>
          <w:rFonts w:hint="eastAsia" w:ascii="楷体" w:hAnsi="楷体" w:eastAsia="楷体" w:cs="楷体"/>
          <w:sz w:val="32"/>
          <w:szCs w:val="32"/>
        </w:rPr>
      </w:pPr>
      <w:r>
        <w:rPr>
          <w:rFonts w:hint="eastAsia" w:ascii="楷体" w:hAnsi="楷体" w:eastAsia="楷体" w:cs="楷体"/>
          <w:b/>
          <w:bCs/>
          <w:sz w:val="32"/>
          <w:szCs w:val="32"/>
        </w:rPr>
        <w:t>（三）加强重点企业联系。</w:t>
      </w:r>
      <w:r>
        <w:rPr>
          <w:rFonts w:hint="eastAsia" w:ascii="仿宋_GB2312" w:hAnsi="仿宋_GB2312" w:eastAsia="仿宋_GB2312" w:cs="仿宋_GB2312"/>
          <w:sz w:val="32"/>
          <w:szCs w:val="32"/>
        </w:rPr>
        <w:t>建立完善省级重点商贸物流企业联系机制,实施动态管理。支持名单</w:t>
      </w:r>
      <w:r>
        <w:rPr>
          <w:rFonts w:hint="eastAsia" w:ascii="仿宋_GB2312" w:hAnsi="仿宋_GB2312" w:eastAsia="仿宋_GB2312" w:cs="仿宋_GB2312"/>
          <w:sz w:val="32"/>
          <w:szCs w:val="32"/>
          <w:lang w:eastAsia="zh-CN"/>
        </w:rPr>
        <w:t>内</w:t>
      </w:r>
      <w:r>
        <w:rPr>
          <w:rFonts w:hint="eastAsia" w:ascii="仿宋_GB2312" w:hAnsi="仿宋_GB2312" w:eastAsia="仿宋_GB2312" w:cs="仿宋_GB2312"/>
          <w:sz w:val="32"/>
          <w:szCs w:val="32"/>
        </w:rPr>
        <w:t>企业参与供应链创新与应用、物流标准化等商贸物流试点示范工作。加强政企沟通,及时协调解决企业发展中遇到的困难问题,认真总结宣传、复制推广先进经验做法。</w:t>
      </w:r>
      <w:r>
        <w:rPr>
          <w:rFonts w:hint="eastAsia" w:ascii="楷体" w:hAnsi="楷体" w:eastAsia="楷体" w:cs="楷体"/>
          <w:sz w:val="32"/>
          <w:szCs w:val="32"/>
        </w:rPr>
        <w:t>（省直各有关单位按职责分工负责）</w:t>
      </w:r>
    </w:p>
    <w:p>
      <w:pPr>
        <w:keepNext w:val="0"/>
        <w:keepLines w:val="0"/>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附件：江西省商贸物流高质量发展专项行动工作台账</w:t>
      </w:r>
    </w:p>
    <w:p>
      <w:pPr>
        <w:pStyle w:val="2"/>
        <w:pageBreakBefore w:val="0"/>
        <w:kinsoku/>
        <w:overflowPunct/>
        <w:topLinePunct w:val="0"/>
        <w:bidi w:val="0"/>
        <w:spacing w:line="560" w:lineRule="exact"/>
        <w:textAlignment w:val="auto"/>
        <w:rPr>
          <w:lang w:val="en"/>
        </w:rPr>
        <w:sectPr>
          <w:pgSz w:w="11906" w:h="16838"/>
          <w:pgMar w:top="1440" w:right="1800" w:bottom="1440" w:left="1800" w:header="851" w:footer="992" w:gutter="0"/>
          <w:cols w:space="425" w:num="1"/>
          <w:docGrid w:type="lines" w:linePitch="312" w:charSpace="0"/>
        </w:sectPr>
      </w:pPr>
      <w:r>
        <w:rPr>
          <w:lang w:val="en"/>
        </w:rPr>
        <w:br w:type="page"/>
      </w:r>
    </w:p>
    <w:p>
      <w:pPr>
        <w:pStyle w:val="7"/>
        <w:pageBreakBefore w:val="0"/>
        <w:kinsoku/>
        <w:overflowPunct/>
        <w:topLinePunct w:val="0"/>
        <w:bidi w:val="0"/>
        <w:spacing w:line="560" w:lineRule="exact"/>
        <w:jc w:val="center"/>
        <w:textAlignment w:val="auto"/>
        <w:rPr>
          <w:rFonts w:hint="eastAsia" w:ascii="仿宋_GB2312" w:hAnsi="仿宋_GB2312" w:eastAsia="仿宋_GB2312" w:cs="仿宋_GB2312"/>
          <w:sz w:val="32"/>
          <w:szCs w:val="32"/>
          <w:lang w:val="en"/>
        </w:rPr>
      </w:pPr>
      <w:r>
        <w:rPr>
          <w:rFonts w:hint="eastAsia" w:ascii="方正小标宋简体" w:hAnsi="方正小标宋简体" w:eastAsia="方正小标宋简体" w:cs="方正小标宋简体"/>
          <w:sz w:val="44"/>
          <w:szCs w:val="44"/>
          <w:lang w:val="en"/>
        </w:rPr>
        <w:t>江西省商贸物流高质量发展专项行动工作台账</w:t>
      </w:r>
    </w:p>
    <w:tbl>
      <w:tblPr>
        <w:tblStyle w:val="9"/>
        <w:tblW w:w="14317"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0"/>
        <w:gridCol w:w="4714"/>
        <w:gridCol w:w="3539"/>
        <w:gridCol w:w="1321"/>
        <w:gridCol w:w="2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2240" w:type="dxa"/>
            <w:tcBorders>
              <w:left w:val="single" w:color="auto" w:sz="4" w:space="0"/>
            </w:tcBorders>
            <w:vAlign w:val="center"/>
          </w:tcPr>
          <w:p>
            <w:pPr>
              <w:pageBreakBefore w:val="0"/>
              <w:kinsoku/>
              <w:overflowPunct/>
              <w:topLinePunct w:val="0"/>
              <w:bidi w:val="0"/>
              <w:spacing w:line="560" w:lineRule="exact"/>
              <w:jc w:val="center"/>
              <w:textAlignment w:val="auto"/>
              <w:rPr>
                <w:rFonts w:hint="eastAsia" w:ascii="黑体" w:hAnsi="黑体" w:eastAsia="黑体" w:cs="黑体"/>
                <w:kern w:val="0"/>
                <w:sz w:val="28"/>
                <w:szCs w:val="28"/>
              </w:rPr>
            </w:pPr>
            <w:r>
              <w:rPr>
                <w:rFonts w:hint="eastAsia" w:ascii="黑体" w:hAnsi="黑体" w:eastAsia="黑体" w:cs="黑体"/>
                <w:kern w:val="0"/>
                <w:sz w:val="28"/>
                <w:szCs w:val="28"/>
              </w:rPr>
              <w:t>重点任务</w:t>
            </w:r>
          </w:p>
        </w:tc>
        <w:tc>
          <w:tcPr>
            <w:tcW w:w="4714" w:type="dxa"/>
            <w:vAlign w:val="center"/>
          </w:tcPr>
          <w:p>
            <w:pPr>
              <w:pageBreakBefore w:val="0"/>
              <w:kinsoku/>
              <w:overflowPunct/>
              <w:topLinePunct w:val="0"/>
              <w:bidi w:val="0"/>
              <w:spacing w:line="560" w:lineRule="exact"/>
              <w:jc w:val="center"/>
              <w:textAlignment w:val="auto"/>
              <w:rPr>
                <w:rFonts w:hint="eastAsia" w:ascii="黑体" w:hAnsi="黑体" w:eastAsia="黑体" w:cs="黑体"/>
                <w:kern w:val="0"/>
                <w:sz w:val="28"/>
                <w:szCs w:val="28"/>
              </w:rPr>
            </w:pPr>
            <w:r>
              <w:rPr>
                <w:rFonts w:hint="eastAsia" w:ascii="黑体" w:hAnsi="黑体" w:eastAsia="黑体" w:cs="黑体"/>
                <w:kern w:val="0"/>
                <w:sz w:val="28"/>
                <w:szCs w:val="28"/>
              </w:rPr>
              <w:t>落实举措</w:t>
            </w:r>
          </w:p>
        </w:tc>
        <w:tc>
          <w:tcPr>
            <w:tcW w:w="3539" w:type="dxa"/>
            <w:vAlign w:val="center"/>
          </w:tcPr>
          <w:p>
            <w:pPr>
              <w:pageBreakBefore w:val="0"/>
              <w:kinsoku/>
              <w:overflowPunct/>
              <w:topLinePunct w:val="0"/>
              <w:bidi w:val="0"/>
              <w:spacing w:line="560" w:lineRule="exact"/>
              <w:jc w:val="center"/>
              <w:textAlignment w:val="auto"/>
              <w:rPr>
                <w:rFonts w:hint="eastAsia" w:ascii="黑体" w:hAnsi="黑体" w:eastAsia="黑体" w:cs="黑体"/>
                <w:kern w:val="0"/>
                <w:sz w:val="28"/>
                <w:szCs w:val="28"/>
              </w:rPr>
            </w:pPr>
            <w:r>
              <w:rPr>
                <w:rFonts w:hint="eastAsia" w:ascii="黑体" w:hAnsi="黑体" w:eastAsia="黑体" w:cs="黑体"/>
                <w:kern w:val="0"/>
                <w:sz w:val="28"/>
                <w:szCs w:val="28"/>
              </w:rPr>
              <w:t>预期目标</w:t>
            </w:r>
          </w:p>
        </w:tc>
        <w:tc>
          <w:tcPr>
            <w:tcW w:w="1321" w:type="dxa"/>
            <w:tcBorders>
              <w:right w:val="single" w:color="auto" w:sz="4" w:space="0"/>
            </w:tcBorders>
            <w:vAlign w:val="center"/>
          </w:tcPr>
          <w:p>
            <w:pPr>
              <w:pageBreakBefore w:val="0"/>
              <w:kinsoku/>
              <w:overflowPunct/>
              <w:topLinePunct w:val="0"/>
              <w:bidi w:val="0"/>
              <w:spacing w:line="560" w:lineRule="exact"/>
              <w:jc w:val="center"/>
              <w:textAlignment w:val="auto"/>
              <w:rPr>
                <w:rFonts w:hint="eastAsia" w:ascii="黑体" w:hAnsi="黑体" w:eastAsia="黑体" w:cs="黑体"/>
                <w:kern w:val="0"/>
                <w:sz w:val="28"/>
                <w:szCs w:val="28"/>
              </w:rPr>
            </w:pPr>
            <w:r>
              <w:rPr>
                <w:rFonts w:hint="eastAsia" w:ascii="黑体" w:hAnsi="黑体" w:eastAsia="黑体" w:cs="黑体"/>
                <w:kern w:val="0"/>
                <w:sz w:val="28"/>
                <w:szCs w:val="28"/>
              </w:rPr>
              <w:t>完成时限</w:t>
            </w:r>
          </w:p>
        </w:tc>
        <w:tc>
          <w:tcPr>
            <w:tcW w:w="2503" w:type="dxa"/>
            <w:tcBorders>
              <w:right w:val="single" w:color="auto" w:sz="4" w:space="0"/>
            </w:tcBorders>
            <w:vAlign w:val="center"/>
          </w:tcPr>
          <w:p>
            <w:pPr>
              <w:pageBreakBefore w:val="0"/>
              <w:kinsoku/>
              <w:overflowPunct/>
              <w:topLinePunct w:val="0"/>
              <w:bidi w:val="0"/>
              <w:spacing w:line="560" w:lineRule="exact"/>
              <w:jc w:val="center"/>
              <w:textAlignment w:val="auto"/>
              <w:rPr>
                <w:rFonts w:hint="eastAsia" w:ascii="黑体" w:hAnsi="黑体" w:eastAsia="黑体" w:cs="黑体"/>
                <w:kern w:val="0"/>
                <w:sz w:val="28"/>
                <w:szCs w:val="28"/>
              </w:rPr>
            </w:pPr>
            <w:r>
              <w:rPr>
                <w:rFonts w:hint="eastAsia" w:ascii="黑体" w:hAnsi="黑体" w:eastAsia="黑体" w:cs="黑体"/>
                <w:kern w:val="0"/>
                <w:sz w:val="28"/>
                <w:szCs w:val="28"/>
              </w:rPr>
              <w:t>工作进展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2240" w:type="dxa"/>
            <w:vMerge w:val="restart"/>
            <w:tcBorders>
              <w:left w:val="single" w:color="auto" w:sz="4" w:space="0"/>
            </w:tcBorders>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kern w:val="0"/>
                <w:sz w:val="24"/>
              </w:rPr>
            </w:pPr>
            <w:r>
              <w:rPr>
                <w:rFonts w:hint="eastAsia" w:ascii="楷体" w:hAnsi="楷体" w:eastAsia="楷体" w:cs="楷体"/>
                <w:b/>
                <w:bCs/>
                <w:kern w:val="0"/>
                <w:sz w:val="28"/>
                <w:szCs w:val="28"/>
                <w:lang w:bidi="ar"/>
              </w:rPr>
              <w:t>1.优化商贸物流网络布局</w:t>
            </w:r>
          </w:p>
        </w:tc>
        <w:tc>
          <w:tcPr>
            <w:tcW w:w="4714" w:type="dxa"/>
            <w:tcBorders>
              <w:bottom w:val="single" w:color="auto" w:sz="4" w:space="0"/>
            </w:tcBorders>
            <w:vAlign w:val="center"/>
          </w:tcPr>
          <w:p>
            <w:pPr>
              <w:pageBreakBefore w:val="0"/>
              <w:kinsoku/>
              <w:overflowPunct/>
              <w:topLinePunct w:val="0"/>
              <w:bidi w:val="0"/>
              <w:spacing w:line="56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w:t>
            </w:r>
            <w:r>
              <w:rPr>
                <w:rFonts w:hint="eastAsia" w:eastAsia="仿宋_GB2312"/>
                <w:kern w:val="0"/>
                <w:sz w:val="24"/>
              </w:rPr>
              <w:t>1）加大对赣州商贸服务型</w:t>
            </w:r>
            <w:r>
              <w:rPr>
                <w:rFonts w:hint="eastAsia" w:eastAsia="仿宋_GB2312"/>
                <w:kern w:val="0"/>
                <w:sz w:val="24"/>
                <w:lang w:eastAsia="zh-CN"/>
              </w:rPr>
              <w:t>、南昌陆港型国家</w:t>
            </w:r>
            <w:r>
              <w:rPr>
                <w:rFonts w:hint="eastAsia" w:eastAsia="仿宋_GB2312"/>
                <w:kern w:val="0"/>
                <w:sz w:val="24"/>
              </w:rPr>
              <w:t>物流枢纽以及其他物流枢纽承载城市的建设力度。</w:t>
            </w:r>
          </w:p>
        </w:tc>
        <w:tc>
          <w:tcPr>
            <w:tcW w:w="3539" w:type="dxa"/>
            <w:tcBorders>
              <w:bottom w:val="single" w:color="auto" w:sz="4" w:space="0"/>
            </w:tcBorders>
            <w:vAlign w:val="center"/>
          </w:tcPr>
          <w:p>
            <w:pPr>
              <w:pageBreakBefore w:val="0"/>
              <w:kinsoku/>
              <w:overflowPunct/>
              <w:topLinePunct w:val="0"/>
              <w:bidi w:val="0"/>
              <w:spacing w:line="560" w:lineRule="exact"/>
              <w:textAlignment w:val="auto"/>
              <w:rPr>
                <w:rFonts w:hint="eastAsia" w:ascii="仿宋_GB2312" w:hAnsi="仿宋_GB2312" w:eastAsia="仿宋_GB2312" w:cs="仿宋_GB2312"/>
                <w:kern w:val="0"/>
                <w:sz w:val="24"/>
                <w:u w:val="single"/>
              </w:rPr>
            </w:pPr>
            <w:r>
              <w:rPr>
                <w:rFonts w:hint="eastAsia" w:eastAsia="仿宋_GB2312"/>
                <w:kern w:val="0"/>
                <w:sz w:val="24"/>
              </w:rPr>
              <w:t>“一圈四中心六节点”集聚辐射能力明显提升。</w:t>
            </w:r>
          </w:p>
        </w:tc>
        <w:tc>
          <w:tcPr>
            <w:tcW w:w="1321" w:type="dxa"/>
            <w:tcBorders>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2025年底</w:t>
            </w:r>
          </w:p>
        </w:tc>
        <w:tc>
          <w:tcPr>
            <w:tcW w:w="2503" w:type="dxa"/>
            <w:tcBorders>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2240" w:type="dxa"/>
            <w:vMerge w:val="continue"/>
            <w:tcBorders>
              <w:left w:val="single" w:color="auto" w:sz="4" w:space="0"/>
            </w:tcBorders>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kern w:val="0"/>
                <w:sz w:val="24"/>
              </w:rPr>
            </w:pPr>
          </w:p>
        </w:tc>
        <w:tc>
          <w:tcPr>
            <w:tcW w:w="4714" w:type="dxa"/>
            <w:tcBorders>
              <w:bottom w:val="single" w:color="auto" w:sz="4" w:space="0"/>
            </w:tcBorders>
            <w:vAlign w:val="center"/>
          </w:tcPr>
          <w:p>
            <w:pPr>
              <w:pageBreakBefore w:val="0"/>
              <w:kinsoku/>
              <w:overflowPunct/>
              <w:topLinePunct w:val="0"/>
              <w:bidi w:val="0"/>
              <w:spacing w:line="56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w:t>
            </w:r>
            <w:r>
              <w:rPr>
                <w:rFonts w:hint="eastAsia" w:eastAsia="仿宋_GB2312"/>
                <w:kern w:val="0"/>
                <w:sz w:val="24"/>
              </w:rPr>
              <w:t>重点发展综合物流、航空物流、口岸物流、农产品物流等15个物流产业集群。</w:t>
            </w:r>
          </w:p>
        </w:tc>
        <w:tc>
          <w:tcPr>
            <w:tcW w:w="3539" w:type="dxa"/>
            <w:tcBorders>
              <w:bottom w:val="single" w:color="auto" w:sz="4" w:space="0"/>
            </w:tcBorders>
            <w:vAlign w:val="center"/>
          </w:tcPr>
          <w:p>
            <w:pPr>
              <w:pageBreakBefore w:val="0"/>
              <w:kinsoku/>
              <w:overflowPunct/>
              <w:topLinePunct w:val="0"/>
              <w:bidi w:val="0"/>
              <w:spacing w:line="560" w:lineRule="exact"/>
              <w:textAlignment w:val="auto"/>
              <w:rPr>
                <w:rFonts w:ascii="仿宋_GB2312" w:hAnsi="仿宋_GB2312" w:eastAsia="仿宋_GB2312" w:cs="仿宋_GB2312"/>
                <w:kern w:val="0"/>
                <w:sz w:val="24"/>
              </w:rPr>
            </w:pPr>
            <w:r>
              <w:rPr>
                <w:rFonts w:hint="eastAsia" w:ascii="仿宋_GB2312" w:hAnsi="仿宋_GB2312" w:eastAsia="仿宋_GB2312" w:cs="仿宋_GB2312"/>
                <w:bCs/>
                <w:color w:val="000000"/>
                <w:kern w:val="0"/>
                <w:sz w:val="24"/>
              </w:rPr>
              <w:t>15个物流产业集群主营业务收入达到3000亿元。</w:t>
            </w:r>
          </w:p>
        </w:tc>
        <w:tc>
          <w:tcPr>
            <w:tcW w:w="1321" w:type="dxa"/>
            <w:tcBorders>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2025年底</w:t>
            </w:r>
          </w:p>
        </w:tc>
        <w:tc>
          <w:tcPr>
            <w:tcW w:w="2503" w:type="dxa"/>
            <w:tcBorders>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2240" w:type="dxa"/>
            <w:vMerge w:val="continue"/>
            <w:tcBorders>
              <w:left w:val="single" w:color="auto" w:sz="4" w:space="0"/>
              <w:bottom w:val="single" w:color="auto" w:sz="4" w:space="0"/>
            </w:tcBorders>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kern w:val="0"/>
                <w:sz w:val="24"/>
              </w:rPr>
            </w:pPr>
          </w:p>
        </w:tc>
        <w:tc>
          <w:tcPr>
            <w:tcW w:w="4714" w:type="dxa"/>
            <w:tcBorders>
              <w:bottom w:val="single" w:color="auto" w:sz="4" w:space="0"/>
            </w:tcBorders>
            <w:vAlign w:val="center"/>
          </w:tcPr>
          <w:p>
            <w:pPr>
              <w:pageBreakBefore w:val="0"/>
              <w:kinsoku/>
              <w:overflowPunct/>
              <w:topLinePunct w:val="0"/>
              <w:bidi w:val="0"/>
              <w:spacing w:line="56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w:t>
            </w:r>
            <w:r>
              <w:rPr>
                <w:rFonts w:hint="eastAsia" w:ascii="仿宋_GB2312" w:hAnsi="仿宋_GB2312" w:eastAsia="仿宋_GB2312" w:cs="仿宋_GB2312"/>
                <w:kern w:val="2"/>
                <w:sz w:val="24"/>
              </w:rPr>
              <w:t>推进城乡商贸物流基础设施规划建设和改造升级，加强县域商业体系建设，健全农村商贸服务和寄递物流体系。</w:t>
            </w:r>
          </w:p>
        </w:tc>
        <w:tc>
          <w:tcPr>
            <w:tcW w:w="3539" w:type="dxa"/>
            <w:tcBorders>
              <w:bottom w:val="single" w:color="auto" w:sz="4" w:space="0"/>
            </w:tcBorders>
            <w:vAlign w:val="center"/>
          </w:tcPr>
          <w:p>
            <w:pPr>
              <w:pageBreakBefore w:val="0"/>
              <w:kinsoku/>
              <w:overflowPunct/>
              <w:topLinePunct w:val="0"/>
              <w:bidi w:val="0"/>
              <w:spacing w:line="56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2"/>
                <w:sz w:val="24"/>
              </w:rPr>
              <w:t>基本实现县县有物流配送中心、乡乡有配送站</w:t>
            </w:r>
            <w:r>
              <w:rPr>
                <w:rFonts w:hint="eastAsia" w:ascii="仿宋_GB2312" w:hAnsi="仿宋_GB2312" w:eastAsia="仿宋_GB2312" w:cs="仿宋_GB2312"/>
                <w:kern w:val="2"/>
                <w:sz w:val="24"/>
                <w:lang w:eastAsia="zh-CN"/>
              </w:rPr>
              <w:t>、</w:t>
            </w:r>
            <w:r>
              <w:rPr>
                <w:rFonts w:hint="eastAsia" w:ascii="仿宋_GB2312" w:hAnsi="仿宋_GB2312" w:eastAsia="仿宋_GB2312" w:cs="仿宋_GB2312"/>
                <w:kern w:val="2"/>
                <w:sz w:val="24"/>
              </w:rPr>
              <w:t>村村通快递。</w:t>
            </w:r>
          </w:p>
        </w:tc>
        <w:tc>
          <w:tcPr>
            <w:tcW w:w="1321" w:type="dxa"/>
            <w:tcBorders>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2025年底</w:t>
            </w:r>
          </w:p>
        </w:tc>
        <w:tc>
          <w:tcPr>
            <w:tcW w:w="2503" w:type="dxa"/>
            <w:tcBorders>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4" w:hRule="atLeast"/>
        </w:trPr>
        <w:tc>
          <w:tcPr>
            <w:tcW w:w="2240" w:type="dxa"/>
            <w:vMerge w:val="restart"/>
            <w:tcBorders>
              <w:left w:val="single" w:color="auto" w:sz="4" w:space="0"/>
            </w:tcBorders>
            <w:vAlign w:val="center"/>
          </w:tcPr>
          <w:p>
            <w:pPr>
              <w:pStyle w:val="3"/>
              <w:pageBreakBefore w:val="0"/>
              <w:kinsoku/>
              <w:overflowPunct/>
              <w:topLinePunct w:val="0"/>
              <w:bidi w:val="0"/>
              <w:spacing w:line="560" w:lineRule="exact"/>
              <w:jc w:val="center"/>
              <w:textAlignment w:val="auto"/>
              <w:outlineLvl w:val="1"/>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r>
              <w:rPr>
                <w:rFonts w:hint="eastAsia" w:ascii="楷体" w:hAnsi="楷体" w:eastAsia="楷体" w:cs="楷体"/>
                <w:bCs/>
                <w:kern w:val="0"/>
                <w:sz w:val="28"/>
                <w:szCs w:val="28"/>
                <w:lang w:bidi="ar"/>
              </w:rPr>
              <w:t>拓展国际物流发展空间</w:t>
            </w:r>
          </w:p>
          <w:p>
            <w:pPr>
              <w:pageBreakBefore w:val="0"/>
              <w:kinsoku/>
              <w:overflowPunct/>
              <w:topLinePunct w:val="0"/>
              <w:bidi w:val="0"/>
              <w:spacing w:line="560" w:lineRule="exact"/>
              <w:jc w:val="center"/>
              <w:textAlignment w:val="auto"/>
              <w:rPr>
                <w:rFonts w:hint="eastAsia" w:ascii="仿宋_GB2312" w:hAnsi="仿宋_GB2312" w:eastAsia="仿宋_GB2312" w:cs="仿宋_GB2312"/>
                <w:kern w:val="0"/>
                <w:sz w:val="24"/>
              </w:rPr>
            </w:pPr>
          </w:p>
        </w:tc>
        <w:tc>
          <w:tcPr>
            <w:tcW w:w="4714" w:type="dxa"/>
            <w:tcBorders>
              <w:top w:val="single" w:color="auto" w:sz="4" w:space="0"/>
              <w:bottom w:val="single" w:color="auto" w:sz="4" w:space="0"/>
            </w:tcBorders>
            <w:vAlign w:val="center"/>
          </w:tcPr>
          <w:p>
            <w:pPr>
              <w:pageBreakBefore w:val="0"/>
              <w:kinsoku/>
              <w:overflowPunct/>
              <w:topLinePunct w:val="0"/>
              <w:bidi w:val="0"/>
              <w:spacing w:line="560" w:lineRule="exact"/>
              <w:textAlignment w:val="auto"/>
              <w:rPr>
                <w:rFonts w:ascii="仿宋_GB2312" w:hAnsi="仿宋_GB2312" w:eastAsia="仿宋_GB2312" w:cs="仿宋_GB2312"/>
                <w:kern w:val="0"/>
                <w:sz w:val="24"/>
                <w:lang w:val="en"/>
              </w:rPr>
            </w:pPr>
            <w:r>
              <w:rPr>
                <w:rFonts w:hint="eastAsia" w:ascii="仿宋_GB2312" w:hAnsi="仿宋_GB2312" w:eastAsia="仿宋_GB2312" w:cs="仿宋_GB2312"/>
                <w:kern w:val="0"/>
                <w:sz w:val="24"/>
              </w:rPr>
              <w:t>（4）</w:t>
            </w:r>
            <w:r>
              <w:rPr>
                <w:rFonts w:hint="eastAsia" w:ascii="仿宋_GB2312" w:hAnsi="仿宋_GB2312" w:eastAsia="仿宋_GB2312" w:cs="仿宋_GB2312"/>
                <w:kern w:val="0"/>
                <w:sz w:val="24"/>
                <w:lang w:eastAsia="zh-CN"/>
              </w:rPr>
              <w:t>主动融入</w:t>
            </w:r>
            <w:r>
              <w:rPr>
                <w:rFonts w:hint="eastAsia" w:ascii="仿宋_GB2312" w:hAnsi="仿宋_GB2312" w:eastAsia="仿宋_GB2312" w:cs="仿宋_GB2312"/>
                <w:kern w:val="0"/>
                <w:sz w:val="24"/>
              </w:rPr>
              <w:t>粤港澳大湾区、海西经济区和长三角区域</w:t>
            </w:r>
            <w:r>
              <w:rPr>
                <w:rFonts w:hint="eastAsia" w:ascii="仿宋_GB2312" w:hAnsi="仿宋_GB2312" w:eastAsia="仿宋_GB2312" w:cs="仿宋_GB2312"/>
                <w:kern w:val="0"/>
                <w:sz w:val="24"/>
                <w:lang w:eastAsia="zh-CN"/>
              </w:rPr>
              <w:t>一体化发展，</w:t>
            </w:r>
            <w:r>
              <w:rPr>
                <w:rFonts w:hint="eastAsia" w:ascii="仿宋_GB2312" w:hAnsi="仿宋_GB2312" w:eastAsia="仿宋_GB2312" w:cs="仿宋_GB2312"/>
                <w:kern w:val="0"/>
                <w:sz w:val="24"/>
              </w:rPr>
              <w:t>常态化开行中欧班列、与各沿海港口的铁海联运班列以及国际国内货运航线航班</w:t>
            </w:r>
            <w:r>
              <w:rPr>
                <w:rFonts w:ascii="仿宋_GB2312" w:hAnsi="仿宋_GB2312" w:eastAsia="仿宋_GB2312" w:cs="仿宋_GB2312"/>
                <w:kern w:val="0"/>
                <w:sz w:val="24"/>
                <w:lang w:val="en"/>
              </w:rPr>
              <w:t>。</w:t>
            </w:r>
          </w:p>
        </w:tc>
        <w:tc>
          <w:tcPr>
            <w:tcW w:w="3539" w:type="dxa"/>
            <w:tcBorders>
              <w:top w:val="single" w:color="auto" w:sz="4" w:space="0"/>
              <w:bottom w:val="single" w:color="auto" w:sz="4" w:space="0"/>
            </w:tcBorders>
            <w:vAlign w:val="center"/>
          </w:tcPr>
          <w:p>
            <w:pPr>
              <w:pageBreakBefore w:val="0"/>
              <w:kinsoku/>
              <w:overflowPunct/>
              <w:topLinePunct w:val="0"/>
              <w:bidi w:val="0"/>
              <w:spacing w:line="56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推动口岸“三同”政策落实。</w:t>
            </w:r>
          </w:p>
        </w:tc>
        <w:tc>
          <w:tcPr>
            <w:tcW w:w="1321" w:type="dxa"/>
            <w:tcBorders>
              <w:top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rPr>
              <w:t>2025年底</w:t>
            </w:r>
          </w:p>
        </w:tc>
        <w:tc>
          <w:tcPr>
            <w:tcW w:w="2503" w:type="dxa"/>
            <w:tcBorders>
              <w:top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2240" w:type="dxa"/>
            <w:vMerge w:val="continue"/>
            <w:tcBorders>
              <w:left w:val="single" w:color="auto" w:sz="4" w:space="0"/>
            </w:tcBorders>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kern w:val="0"/>
                <w:sz w:val="24"/>
              </w:rPr>
            </w:pPr>
          </w:p>
        </w:tc>
        <w:tc>
          <w:tcPr>
            <w:tcW w:w="4714" w:type="dxa"/>
            <w:tcBorders>
              <w:top w:val="single" w:color="auto" w:sz="4" w:space="0"/>
              <w:bottom w:val="single" w:color="auto" w:sz="4" w:space="0"/>
            </w:tcBorders>
            <w:vAlign w:val="center"/>
          </w:tcPr>
          <w:p>
            <w:pPr>
              <w:pageBreakBefore w:val="0"/>
              <w:kinsoku/>
              <w:overflowPunct/>
              <w:topLinePunct w:val="0"/>
              <w:bidi w:val="0"/>
              <w:spacing w:line="560" w:lineRule="exact"/>
              <w:textAlignment w:val="auto"/>
              <w:rPr>
                <w:rFonts w:ascii="仿宋_GB2312" w:hAnsi="仿宋_GB2312" w:eastAsia="仿宋_GB2312" w:cs="仿宋_GB2312"/>
                <w:kern w:val="0"/>
                <w:sz w:val="24"/>
                <w:lang w:val="en"/>
              </w:rPr>
            </w:pPr>
            <w:r>
              <w:rPr>
                <w:rFonts w:hint="eastAsia" w:ascii="仿宋_GB2312" w:hAnsi="仿宋_GB2312" w:eastAsia="仿宋_GB2312" w:cs="仿宋_GB2312"/>
                <w:kern w:val="0"/>
                <w:sz w:val="24"/>
              </w:rPr>
              <w:t>（5）争取将我省纳入全领域一体化改革试点，全面推进“两步申报”“提前申报”等便利化措施</w:t>
            </w:r>
            <w:r>
              <w:rPr>
                <w:rFonts w:ascii="仿宋_GB2312" w:hAnsi="仿宋_GB2312" w:eastAsia="仿宋_GB2312" w:cs="仿宋_GB2312"/>
                <w:kern w:val="0"/>
                <w:sz w:val="24"/>
                <w:lang w:val="en"/>
              </w:rPr>
              <w:t>。</w:t>
            </w:r>
          </w:p>
        </w:tc>
        <w:tc>
          <w:tcPr>
            <w:tcW w:w="3539" w:type="dxa"/>
            <w:tcBorders>
              <w:top w:val="single" w:color="auto" w:sz="4" w:space="0"/>
              <w:bottom w:val="single" w:color="auto" w:sz="4" w:space="0"/>
            </w:tcBorders>
            <w:vAlign w:val="center"/>
          </w:tcPr>
          <w:p>
            <w:pPr>
              <w:pageBreakBefore w:val="0"/>
              <w:kinsoku/>
              <w:overflowPunct/>
              <w:topLinePunct w:val="0"/>
              <w:bidi w:val="0"/>
              <w:spacing w:line="56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提高通关效率。</w:t>
            </w:r>
          </w:p>
        </w:tc>
        <w:tc>
          <w:tcPr>
            <w:tcW w:w="1321" w:type="dxa"/>
            <w:tcBorders>
              <w:top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2025年底</w:t>
            </w:r>
          </w:p>
        </w:tc>
        <w:tc>
          <w:tcPr>
            <w:tcW w:w="2503" w:type="dxa"/>
            <w:tcBorders>
              <w:top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240" w:type="dxa"/>
            <w:vMerge w:val="continue"/>
            <w:tcBorders>
              <w:left w:val="single" w:color="auto" w:sz="4" w:space="0"/>
            </w:tcBorders>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kern w:val="0"/>
                <w:sz w:val="24"/>
              </w:rPr>
            </w:pPr>
          </w:p>
        </w:tc>
        <w:tc>
          <w:tcPr>
            <w:tcW w:w="4714" w:type="dxa"/>
            <w:tcBorders>
              <w:top w:val="single" w:color="auto" w:sz="4" w:space="0"/>
              <w:bottom w:val="single" w:color="auto" w:sz="4" w:space="0"/>
            </w:tcBorders>
            <w:vAlign w:val="center"/>
          </w:tcPr>
          <w:p>
            <w:pPr>
              <w:pageBreakBefore w:val="0"/>
              <w:kinsoku/>
              <w:overflowPunct/>
              <w:topLinePunct w:val="0"/>
              <w:bidi w:val="0"/>
              <w:spacing w:line="560" w:lineRule="exact"/>
              <w:textAlignment w:val="auto"/>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（6）</w:t>
            </w:r>
            <w:r>
              <w:rPr>
                <w:rFonts w:hint="eastAsia" w:ascii="仿宋_GB2312" w:hAnsi="仿宋_GB2312" w:eastAsia="仿宋_GB2312" w:cs="仿宋_GB2312"/>
                <w:kern w:val="2"/>
                <w:sz w:val="24"/>
              </w:rPr>
              <w:t>加快发展南昌、赣州、九江跨境电子商务综合试验区</w:t>
            </w:r>
            <w:r>
              <w:rPr>
                <w:rFonts w:hint="eastAsia" w:ascii="仿宋_GB2312" w:hAnsi="仿宋_GB2312" w:eastAsia="仿宋_GB2312" w:cs="仿宋_GB2312"/>
                <w:kern w:val="2"/>
                <w:sz w:val="24"/>
                <w:lang w:eastAsia="zh-CN"/>
              </w:rPr>
              <w:t>。</w:t>
            </w:r>
          </w:p>
        </w:tc>
        <w:tc>
          <w:tcPr>
            <w:tcW w:w="3539" w:type="dxa"/>
            <w:tcBorders>
              <w:top w:val="single" w:color="auto" w:sz="4" w:space="0"/>
              <w:bottom w:val="single" w:color="auto" w:sz="4" w:space="0"/>
            </w:tcBorders>
            <w:vAlign w:val="center"/>
          </w:tcPr>
          <w:p>
            <w:pPr>
              <w:pageBreakBefore w:val="0"/>
              <w:kinsoku/>
              <w:overflowPunct/>
              <w:topLinePunct w:val="0"/>
              <w:bidi w:val="0"/>
              <w:spacing w:line="560" w:lineRule="exact"/>
              <w:textAlignment w:val="auto"/>
              <w:rPr>
                <w:rFonts w:ascii="仿宋_GB2312" w:hAnsi="仿宋_GB2312" w:eastAsia="仿宋_GB2312" w:cs="仿宋_GB2312"/>
                <w:kern w:val="0"/>
                <w:sz w:val="24"/>
                <w:lang w:val="en"/>
              </w:rPr>
            </w:pPr>
            <w:r>
              <w:rPr>
                <w:rFonts w:ascii="仿宋_GB2312" w:hAnsi="仿宋_GB2312" w:eastAsia="仿宋_GB2312" w:cs="仿宋_GB2312"/>
                <w:kern w:val="0"/>
                <w:sz w:val="24"/>
                <w:lang w:val="en"/>
              </w:rPr>
              <w:t>提高“单一窗口”建设水平</w:t>
            </w:r>
          </w:p>
        </w:tc>
        <w:tc>
          <w:tcPr>
            <w:tcW w:w="1321" w:type="dxa"/>
            <w:tcBorders>
              <w:top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2025年底</w:t>
            </w:r>
          </w:p>
        </w:tc>
        <w:tc>
          <w:tcPr>
            <w:tcW w:w="2503" w:type="dxa"/>
            <w:tcBorders>
              <w:top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trPr>
        <w:tc>
          <w:tcPr>
            <w:tcW w:w="2240" w:type="dxa"/>
            <w:vMerge w:val="restart"/>
            <w:tcBorders>
              <w:left w:val="single" w:color="auto" w:sz="4" w:space="0"/>
            </w:tcBorders>
            <w:vAlign w:val="center"/>
          </w:tcPr>
          <w:p>
            <w:pPr>
              <w:pStyle w:val="3"/>
              <w:pageBreakBefore w:val="0"/>
              <w:kinsoku/>
              <w:overflowPunct/>
              <w:topLinePunct w:val="0"/>
              <w:bidi w:val="0"/>
              <w:spacing w:line="560" w:lineRule="exact"/>
              <w:jc w:val="center"/>
              <w:textAlignment w:val="auto"/>
              <w:outlineLvl w:val="1"/>
              <w:rPr>
                <w:rFonts w:hint="eastAsia" w:ascii="楷体" w:hAnsi="楷体" w:eastAsia="楷体" w:cs="楷体"/>
                <w:bCs/>
                <w:kern w:val="0"/>
                <w:sz w:val="28"/>
                <w:szCs w:val="28"/>
                <w:lang w:bidi="ar"/>
              </w:rPr>
            </w:pPr>
            <w:r>
              <w:rPr>
                <w:rFonts w:hint="eastAsia" w:ascii="楷体" w:hAnsi="楷体" w:eastAsia="楷体" w:cs="楷体"/>
                <w:bCs/>
                <w:kern w:val="0"/>
                <w:sz w:val="28"/>
                <w:szCs w:val="28"/>
                <w:lang w:bidi="ar"/>
              </w:rPr>
              <w:t>3.建设城乡高效配送体系</w:t>
            </w:r>
          </w:p>
          <w:p>
            <w:pPr>
              <w:pStyle w:val="2"/>
              <w:pageBreakBefore w:val="0"/>
              <w:kinsoku/>
              <w:overflowPunct/>
              <w:topLinePunct w:val="0"/>
              <w:bidi w:val="0"/>
              <w:spacing w:line="560" w:lineRule="exact"/>
              <w:textAlignment w:val="auto"/>
              <w:rPr>
                <w:rFonts w:hint="eastAsia"/>
              </w:rPr>
            </w:pPr>
          </w:p>
        </w:tc>
        <w:tc>
          <w:tcPr>
            <w:tcW w:w="4714" w:type="dxa"/>
            <w:tcBorders>
              <w:top w:val="single" w:color="auto" w:sz="4" w:space="0"/>
              <w:bottom w:val="single" w:color="auto" w:sz="4" w:space="0"/>
            </w:tcBorders>
            <w:vAlign w:val="center"/>
          </w:tcPr>
          <w:p>
            <w:pPr>
              <w:pageBreakBefore w:val="0"/>
              <w:kinsoku/>
              <w:overflowPunct/>
              <w:topLinePunct w:val="0"/>
              <w:bidi w:val="0"/>
              <w:spacing w:line="560" w:lineRule="exact"/>
              <w:textAlignment w:val="auto"/>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（7）合理规划布局城市综合物流配送中心(园区)和公共配送(分拨)中心,健全县乡村三级物流配送体系</w:t>
            </w:r>
            <w:r>
              <w:rPr>
                <w:rFonts w:hint="eastAsia" w:ascii="仿宋_GB2312" w:hAnsi="仿宋_GB2312" w:eastAsia="仿宋_GB2312" w:cs="仿宋_GB2312"/>
                <w:kern w:val="0"/>
                <w:sz w:val="24"/>
                <w:lang w:eastAsia="zh-CN"/>
              </w:rPr>
              <w:t>。</w:t>
            </w:r>
          </w:p>
        </w:tc>
        <w:tc>
          <w:tcPr>
            <w:tcW w:w="3539" w:type="dxa"/>
            <w:tcBorders>
              <w:top w:val="single" w:color="auto" w:sz="4" w:space="0"/>
              <w:bottom w:val="single" w:color="auto" w:sz="4" w:space="0"/>
            </w:tcBorders>
            <w:vAlign w:val="center"/>
          </w:tcPr>
          <w:p>
            <w:pPr>
              <w:pageBreakBefore w:val="0"/>
              <w:kinsoku/>
              <w:overflowPunct/>
              <w:topLinePunct w:val="0"/>
              <w:bidi w:val="0"/>
              <w:spacing w:line="56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全省区域性物流中心达到5个，县级标准化园区达到75个，全省配送点突破1万个，实现乡乡有网点、村村通快递。</w:t>
            </w:r>
          </w:p>
        </w:tc>
        <w:tc>
          <w:tcPr>
            <w:tcW w:w="1321" w:type="dxa"/>
            <w:tcBorders>
              <w:top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2025年底</w:t>
            </w:r>
          </w:p>
        </w:tc>
        <w:tc>
          <w:tcPr>
            <w:tcW w:w="2503" w:type="dxa"/>
            <w:tcBorders>
              <w:top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2240" w:type="dxa"/>
            <w:vMerge w:val="continue"/>
            <w:tcBorders>
              <w:left w:val="single" w:color="auto" w:sz="4" w:space="0"/>
            </w:tcBorders>
            <w:vAlign w:val="center"/>
          </w:tcPr>
          <w:p>
            <w:pPr>
              <w:pStyle w:val="2"/>
              <w:pageBreakBefore w:val="0"/>
              <w:kinsoku/>
              <w:overflowPunct/>
              <w:topLinePunct w:val="0"/>
              <w:bidi w:val="0"/>
              <w:spacing w:line="560" w:lineRule="exact"/>
              <w:textAlignment w:val="auto"/>
              <w:rPr>
                <w:rFonts w:hint="eastAsia"/>
              </w:rPr>
            </w:pPr>
          </w:p>
        </w:tc>
        <w:tc>
          <w:tcPr>
            <w:tcW w:w="4714" w:type="dxa"/>
            <w:tcBorders>
              <w:top w:val="single" w:color="auto" w:sz="4" w:space="0"/>
              <w:bottom w:val="single" w:color="auto" w:sz="4" w:space="0"/>
            </w:tcBorders>
            <w:vAlign w:val="center"/>
          </w:tcPr>
          <w:p>
            <w:pPr>
              <w:pageBreakBefore w:val="0"/>
              <w:kinsoku/>
              <w:overflowPunct/>
              <w:topLinePunct w:val="0"/>
              <w:bidi w:val="0"/>
              <w:spacing w:line="560" w:lineRule="exact"/>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（8）引导快递网络与邮政普遍服务网络、农村交通、供销及商贸等资源整合，</w:t>
            </w:r>
            <w:r>
              <w:rPr>
                <w:rFonts w:hint="eastAsia" w:ascii="仿宋_GB2312" w:hAnsi="仿宋_GB2312" w:eastAsia="仿宋_GB2312" w:cs="仿宋_GB2312"/>
                <w:kern w:val="0"/>
                <w:sz w:val="24"/>
                <w:lang w:eastAsia="zh-CN"/>
              </w:rPr>
              <w:t>鼓励发展</w:t>
            </w:r>
            <w:r>
              <w:rPr>
                <w:rFonts w:hint="eastAsia" w:ascii="仿宋_GB2312" w:hAnsi="仿宋_GB2312" w:eastAsia="仿宋_GB2312" w:cs="仿宋_GB2312"/>
                <w:kern w:val="0"/>
                <w:sz w:val="24"/>
              </w:rPr>
              <w:t>为批发市场提供的统仓共配、商业连锁企业的共同配送、县域物流中心集中配送、中央大厨房团餐配送、“公交物流专线”带货等</w:t>
            </w:r>
            <w:r>
              <w:rPr>
                <w:rFonts w:hint="eastAsia" w:ascii="仿宋_GB2312" w:hAnsi="仿宋_GB2312" w:eastAsia="仿宋_GB2312" w:cs="仿宋_GB2312"/>
                <w:kern w:val="0"/>
                <w:sz w:val="24"/>
                <w:lang w:eastAsia="zh-CN"/>
              </w:rPr>
              <w:t>新</w:t>
            </w:r>
            <w:r>
              <w:rPr>
                <w:rFonts w:hint="eastAsia" w:ascii="仿宋_GB2312" w:hAnsi="仿宋_GB2312" w:eastAsia="仿宋_GB2312" w:cs="仿宋_GB2312"/>
                <w:kern w:val="0"/>
                <w:sz w:val="24"/>
              </w:rPr>
              <w:t>配送模式。</w:t>
            </w:r>
          </w:p>
        </w:tc>
        <w:tc>
          <w:tcPr>
            <w:tcW w:w="3539" w:type="dxa"/>
            <w:tcBorders>
              <w:top w:val="single" w:color="auto" w:sz="4" w:space="0"/>
              <w:bottom w:val="single" w:color="auto" w:sz="4" w:space="0"/>
            </w:tcBorders>
            <w:vAlign w:val="center"/>
          </w:tcPr>
          <w:p>
            <w:pPr>
              <w:pageBreakBefore w:val="0"/>
              <w:kinsoku/>
              <w:overflowPunct/>
              <w:topLinePunct w:val="0"/>
              <w:bidi w:val="0"/>
              <w:spacing w:line="560" w:lineRule="exact"/>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每个县（区）30%以上的快递件实现统一分拣、统一配送。</w:t>
            </w:r>
          </w:p>
        </w:tc>
        <w:tc>
          <w:tcPr>
            <w:tcW w:w="1321" w:type="dxa"/>
            <w:tcBorders>
              <w:top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2025年底</w:t>
            </w:r>
          </w:p>
        </w:tc>
        <w:tc>
          <w:tcPr>
            <w:tcW w:w="2503" w:type="dxa"/>
            <w:tcBorders>
              <w:top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2240" w:type="dxa"/>
            <w:vMerge w:val="continue"/>
            <w:tcBorders>
              <w:left w:val="single" w:color="auto" w:sz="4" w:space="0"/>
            </w:tcBorders>
            <w:vAlign w:val="center"/>
          </w:tcPr>
          <w:p>
            <w:pPr>
              <w:pStyle w:val="2"/>
              <w:pageBreakBefore w:val="0"/>
              <w:kinsoku/>
              <w:overflowPunct/>
              <w:topLinePunct w:val="0"/>
              <w:bidi w:val="0"/>
              <w:spacing w:line="560" w:lineRule="exact"/>
              <w:textAlignment w:val="auto"/>
              <w:rPr>
                <w:rFonts w:hint="eastAsia"/>
              </w:rPr>
            </w:pPr>
          </w:p>
        </w:tc>
        <w:tc>
          <w:tcPr>
            <w:tcW w:w="4714" w:type="dxa"/>
            <w:tcBorders>
              <w:top w:val="single" w:color="auto" w:sz="4" w:space="0"/>
              <w:bottom w:val="single" w:color="auto" w:sz="4" w:space="0"/>
            </w:tcBorders>
            <w:vAlign w:val="center"/>
          </w:tcPr>
          <w:p>
            <w:pPr>
              <w:pageBreakBefore w:val="0"/>
              <w:kinsoku/>
              <w:overflowPunct/>
              <w:topLinePunct w:val="0"/>
              <w:bidi w:val="0"/>
              <w:spacing w:line="56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（9）引导连锁零售企业、电商企业等加快向农村地区下沉渠道和服务，扩大农村电商覆盖范围。</w:t>
            </w:r>
          </w:p>
        </w:tc>
        <w:tc>
          <w:tcPr>
            <w:tcW w:w="3539" w:type="dxa"/>
            <w:tcBorders>
              <w:top w:val="single" w:color="auto" w:sz="4" w:space="0"/>
              <w:bottom w:val="single" w:color="auto" w:sz="4" w:space="0"/>
            </w:tcBorders>
            <w:vAlign w:val="center"/>
          </w:tcPr>
          <w:p>
            <w:pPr>
              <w:pageBreakBefore w:val="0"/>
              <w:kinsoku/>
              <w:overflowPunct/>
              <w:topLinePunct w:val="0"/>
              <w:bidi w:val="0"/>
              <w:spacing w:line="560" w:lineRule="exact"/>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农村电商服务对具备条件的行政村实现100%覆盖。</w:t>
            </w:r>
          </w:p>
        </w:tc>
        <w:tc>
          <w:tcPr>
            <w:tcW w:w="1321" w:type="dxa"/>
            <w:tcBorders>
              <w:top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2025年底</w:t>
            </w:r>
          </w:p>
        </w:tc>
        <w:tc>
          <w:tcPr>
            <w:tcW w:w="2503" w:type="dxa"/>
            <w:tcBorders>
              <w:top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trPr>
        <w:tc>
          <w:tcPr>
            <w:tcW w:w="2240" w:type="dxa"/>
            <w:vMerge w:val="continue"/>
            <w:tcBorders>
              <w:left w:val="single" w:color="auto" w:sz="4" w:space="0"/>
            </w:tcBorders>
            <w:vAlign w:val="center"/>
          </w:tcPr>
          <w:p>
            <w:pPr>
              <w:pStyle w:val="2"/>
              <w:pageBreakBefore w:val="0"/>
              <w:kinsoku/>
              <w:overflowPunct/>
              <w:topLinePunct w:val="0"/>
              <w:bidi w:val="0"/>
              <w:spacing w:line="560" w:lineRule="exact"/>
              <w:textAlignment w:val="auto"/>
              <w:rPr>
                <w:rFonts w:hint="eastAsia"/>
              </w:rPr>
            </w:pPr>
          </w:p>
        </w:tc>
        <w:tc>
          <w:tcPr>
            <w:tcW w:w="4714"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（10）</w:t>
            </w:r>
            <w:r>
              <w:rPr>
                <w:rFonts w:hint="eastAsia" w:ascii="仿宋_GB2312" w:hAnsi="仿宋_GB2312" w:eastAsia="仿宋_GB2312" w:cs="仿宋_GB2312"/>
                <w:kern w:val="0"/>
                <w:sz w:val="24"/>
                <w:lang w:eastAsia="zh-CN"/>
              </w:rPr>
              <w:t>推动</w:t>
            </w:r>
            <w:r>
              <w:rPr>
                <w:rFonts w:hint="eastAsia" w:ascii="仿宋_GB2312" w:hAnsi="仿宋_GB2312" w:eastAsia="仿宋_GB2312" w:cs="仿宋_GB2312"/>
                <w:kern w:val="0"/>
                <w:sz w:val="24"/>
              </w:rPr>
              <w:t>城市配送车辆通行</w:t>
            </w:r>
            <w:r>
              <w:rPr>
                <w:rFonts w:hint="eastAsia" w:ascii="仿宋_GB2312" w:hAnsi="仿宋_GB2312" w:eastAsia="仿宋_GB2312" w:cs="仿宋_GB2312"/>
                <w:kern w:val="0"/>
                <w:sz w:val="24"/>
                <w:lang w:eastAsia="zh-CN"/>
              </w:rPr>
              <w:t>便利化</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eastAsia="zh-CN"/>
              </w:rPr>
              <w:t>推广</w:t>
            </w:r>
            <w:r>
              <w:rPr>
                <w:rFonts w:hint="eastAsia" w:ascii="仿宋_GB2312" w:hAnsi="仿宋_GB2312" w:eastAsia="仿宋_GB2312" w:cs="仿宋_GB2312"/>
                <w:kern w:val="0"/>
                <w:sz w:val="24"/>
              </w:rPr>
              <w:t>城市配送车辆通行许可证</w:t>
            </w:r>
            <w:r>
              <w:rPr>
                <w:rFonts w:hint="eastAsia" w:ascii="仿宋_GB2312" w:hAnsi="仿宋_GB2312" w:eastAsia="仿宋_GB2312" w:cs="仿宋_GB2312"/>
                <w:kern w:val="0"/>
                <w:sz w:val="24"/>
                <w:lang w:eastAsia="zh-CN"/>
              </w:rPr>
              <w:t>网上申领</w:t>
            </w:r>
            <w:r>
              <w:rPr>
                <w:rFonts w:hint="eastAsia" w:ascii="仿宋_GB2312" w:hAnsi="仿宋_GB2312" w:eastAsia="仿宋_GB2312" w:cs="仿宋_GB2312"/>
                <w:kern w:val="0"/>
                <w:sz w:val="24"/>
              </w:rPr>
              <w:t>办法,推动城乡配送车辆“统一车型、统一标识、统一管理、统一标准”。</w:t>
            </w:r>
          </w:p>
        </w:tc>
        <w:tc>
          <w:tcPr>
            <w:tcW w:w="353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全省设区市基本实现配送车辆“四统一”,通行环境明显改善。</w:t>
            </w:r>
          </w:p>
        </w:tc>
        <w:tc>
          <w:tcPr>
            <w:tcW w:w="1321"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2025年底</w:t>
            </w:r>
          </w:p>
        </w:tc>
        <w:tc>
          <w:tcPr>
            <w:tcW w:w="2503" w:type="dxa"/>
            <w:tcBorders>
              <w:top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2240" w:type="dxa"/>
            <w:vMerge w:val="restart"/>
            <w:tcBorders>
              <w:left w:val="single" w:color="auto" w:sz="4" w:space="0"/>
            </w:tcBorders>
            <w:vAlign w:val="center"/>
          </w:tcPr>
          <w:p>
            <w:pPr>
              <w:pStyle w:val="2"/>
              <w:pageBreakBefore w:val="0"/>
              <w:kinsoku/>
              <w:overflowPunct/>
              <w:topLinePunct w:val="0"/>
              <w:bidi w:val="0"/>
              <w:spacing w:line="560" w:lineRule="exact"/>
              <w:ind w:left="0" w:firstLine="0"/>
              <w:jc w:val="center"/>
              <w:textAlignment w:val="auto"/>
              <w:rPr>
                <w:rFonts w:hint="eastAsia"/>
              </w:rPr>
            </w:pPr>
            <w:r>
              <w:rPr>
                <w:rFonts w:hint="eastAsia" w:ascii="楷体" w:hAnsi="楷体" w:eastAsia="楷体" w:cs="楷体"/>
                <w:b/>
                <w:bCs/>
                <w:sz w:val="28"/>
                <w:szCs w:val="28"/>
                <w:lang w:bidi="ar"/>
              </w:rPr>
              <w:t>4.提升商贸物流标准化水平</w:t>
            </w:r>
          </w:p>
        </w:tc>
        <w:tc>
          <w:tcPr>
            <w:tcW w:w="4714"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（11）结合实际制订符合我省实际的地方标准，鼓励社会团体和企业制定要求更严、水平更高的团体标准和企业标准。</w:t>
            </w:r>
          </w:p>
        </w:tc>
        <w:tc>
          <w:tcPr>
            <w:tcW w:w="353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进一步健全商贸物流行业标准、团体标准。</w:t>
            </w:r>
          </w:p>
        </w:tc>
        <w:tc>
          <w:tcPr>
            <w:tcW w:w="1321"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2025年底</w:t>
            </w:r>
          </w:p>
        </w:tc>
        <w:tc>
          <w:tcPr>
            <w:tcW w:w="2503" w:type="dxa"/>
            <w:tcBorders>
              <w:top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trPr>
        <w:tc>
          <w:tcPr>
            <w:tcW w:w="2240" w:type="dxa"/>
            <w:vMerge w:val="continue"/>
            <w:tcBorders>
              <w:left w:val="single" w:color="auto" w:sz="4" w:space="0"/>
            </w:tcBorders>
            <w:vAlign w:val="center"/>
          </w:tcPr>
          <w:p>
            <w:pPr>
              <w:pStyle w:val="2"/>
              <w:pageBreakBefore w:val="0"/>
              <w:kinsoku/>
              <w:overflowPunct/>
              <w:topLinePunct w:val="0"/>
              <w:bidi w:val="0"/>
              <w:spacing w:line="560" w:lineRule="exact"/>
              <w:textAlignment w:val="auto"/>
              <w:rPr>
                <w:rFonts w:hint="eastAsia" w:ascii="楷体" w:hAnsi="楷体" w:eastAsia="楷体" w:cs="楷体"/>
                <w:b/>
                <w:bCs/>
                <w:sz w:val="24"/>
                <w:lang w:bidi="ar"/>
              </w:rPr>
            </w:pPr>
          </w:p>
        </w:tc>
        <w:tc>
          <w:tcPr>
            <w:tcW w:w="4714"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kern w:val="2"/>
                <w:sz w:val="24"/>
                <w:lang w:val="en"/>
              </w:rPr>
            </w:pPr>
            <w:r>
              <w:rPr>
                <w:rFonts w:hint="eastAsia" w:ascii="仿宋_GB2312" w:hAnsi="仿宋_GB2312" w:eastAsia="仿宋_GB2312" w:cs="仿宋_GB2312"/>
                <w:kern w:val="0"/>
                <w:sz w:val="24"/>
                <w:lang w:val="en"/>
              </w:rPr>
              <w:t>（</w:t>
            </w:r>
            <w:r>
              <w:rPr>
                <w:rFonts w:hint="eastAsia" w:ascii="仿宋_GB2312" w:hAnsi="仿宋_GB2312" w:eastAsia="仿宋_GB2312" w:cs="仿宋_GB2312"/>
                <w:kern w:val="0"/>
                <w:sz w:val="24"/>
              </w:rPr>
              <w:t>12</w:t>
            </w:r>
            <w:r>
              <w:rPr>
                <w:rFonts w:hint="eastAsia" w:ascii="仿宋_GB2312" w:hAnsi="仿宋_GB2312" w:eastAsia="仿宋_GB2312" w:cs="仿宋_GB2312"/>
                <w:kern w:val="0"/>
                <w:sz w:val="24"/>
                <w:lang w:val="en"/>
              </w:rPr>
              <w:t>）加快标准托盘、标准物流周转箱（筐）等物流载具推广应用，支持叉车、货架、月台、运输车辆等上下游物流设备设施标准化改造。</w:t>
            </w:r>
          </w:p>
        </w:tc>
        <w:tc>
          <w:tcPr>
            <w:tcW w:w="353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eastAsia="zh-CN"/>
              </w:rPr>
              <w:t>带动</w:t>
            </w:r>
            <w:r>
              <w:rPr>
                <w:rFonts w:hint="eastAsia" w:ascii="仿宋_GB2312" w:hAnsi="仿宋_GB2312" w:eastAsia="仿宋_GB2312" w:cs="仿宋_GB2312"/>
                <w:kern w:val="0"/>
                <w:sz w:val="24"/>
              </w:rPr>
              <w:t>供应链顶端的生产企业、终端的商业批发零售企业实施配套标准化改造。</w:t>
            </w:r>
          </w:p>
        </w:tc>
        <w:tc>
          <w:tcPr>
            <w:tcW w:w="1321"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2025年底</w:t>
            </w:r>
          </w:p>
        </w:tc>
        <w:tc>
          <w:tcPr>
            <w:tcW w:w="2503" w:type="dxa"/>
            <w:tcBorders>
              <w:top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trPr>
        <w:tc>
          <w:tcPr>
            <w:tcW w:w="2240" w:type="dxa"/>
            <w:vMerge w:val="continue"/>
            <w:tcBorders>
              <w:left w:val="single" w:color="auto" w:sz="4" w:space="0"/>
            </w:tcBorders>
            <w:vAlign w:val="center"/>
          </w:tcPr>
          <w:p>
            <w:pPr>
              <w:pStyle w:val="2"/>
              <w:pageBreakBefore w:val="0"/>
              <w:kinsoku/>
              <w:overflowPunct/>
              <w:topLinePunct w:val="0"/>
              <w:bidi w:val="0"/>
              <w:spacing w:line="560" w:lineRule="exact"/>
              <w:textAlignment w:val="auto"/>
              <w:rPr>
                <w:rFonts w:hint="eastAsia" w:ascii="楷体" w:hAnsi="楷体" w:eastAsia="楷体" w:cs="楷体"/>
                <w:b/>
                <w:bCs/>
                <w:sz w:val="24"/>
                <w:lang w:bidi="ar"/>
              </w:rPr>
            </w:pPr>
          </w:p>
        </w:tc>
        <w:tc>
          <w:tcPr>
            <w:tcW w:w="4714"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kern w:val="0"/>
                <w:sz w:val="24"/>
                <w:lang w:val="en"/>
              </w:rPr>
            </w:pPr>
            <w:r>
              <w:rPr>
                <w:rFonts w:hint="eastAsia" w:ascii="仿宋_GB2312" w:hAnsi="仿宋_GB2312" w:eastAsia="仿宋_GB2312" w:cs="仿宋_GB2312"/>
                <w:kern w:val="0"/>
                <w:sz w:val="24"/>
                <w:lang w:val="en"/>
              </w:rPr>
              <w:t>（</w:t>
            </w:r>
            <w:r>
              <w:rPr>
                <w:rFonts w:hint="eastAsia" w:ascii="仿宋_GB2312" w:hAnsi="仿宋_GB2312" w:eastAsia="仿宋_GB2312" w:cs="仿宋_GB2312"/>
                <w:kern w:val="0"/>
                <w:sz w:val="24"/>
              </w:rPr>
              <w:t>13</w:t>
            </w:r>
            <w:r>
              <w:rPr>
                <w:rFonts w:hint="eastAsia" w:ascii="仿宋_GB2312" w:hAnsi="仿宋_GB2312" w:eastAsia="仿宋_GB2312" w:cs="仿宋_GB2312"/>
                <w:kern w:val="0"/>
                <w:sz w:val="24"/>
                <w:lang w:val="en"/>
              </w:rPr>
              <w:t>）应用全球统一编码标识（</w:t>
            </w:r>
            <w:r>
              <w:rPr>
                <w:rFonts w:hint="eastAsia" w:ascii="仿宋_GB2312" w:hAnsi="仿宋_GB2312" w:eastAsia="仿宋_GB2312" w:cs="仿宋_GB2312"/>
                <w:kern w:val="0"/>
                <w:sz w:val="24"/>
              </w:rPr>
              <w:t>GSI</w:t>
            </w:r>
            <w:r>
              <w:rPr>
                <w:rFonts w:hint="eastAsia" w:ascii="仿宋_GB2312" w:hAnsi="仿宋_GB2312" w:eastAsia="仿宋_GB2312" w:cs="仿宋_GB2312"/>
                <w:kern w:val="0"/>
                <w:sz w:val="24"/>
                <w:lang w:val="en"/>
              </w:rPr>
              <w:t>）</w:t>
            </w:r>
            <w:r>
              <w:rPr>
                <w:rFonts w:hint="eastAsia" w:ascii="仿宋_GB2312" w:hAnsi="仿宋_GB2312" w:eastAsia="仿宋_GB2312" w:cs="仿宋_GB2312"/>
                <w:kern w:val="0"/>
                <w:sz w:val="24"/>
              </w:rPr>
              <w:t>,拓展标准托盘、</w:t>
            </w:r>
            <w:r>
              <w:rPr>
                <w:rFonts w:hint="eastAsia" w:ascii="仿宋_GB2312" w:hAnsi="仿宋_GB2312" w:eastAsia="仿宋_GB2312" w:cs="仿宋_GB2312"/>
                <w:kern w:val="0"/>
                <w:sz w:val="24"/>
                <w:lang w:val="en"/>
              </w:rPr>
              <w:t>周转箱（筐）信息承载功能，探索构建开放式标准托盘、周转箱（筐）循环共用体系。</w:t>
            </w:r>
          </w:p>
        </w:tc>
        <w:tc>
          <w:tcPr>
            <w:tcW w:w="353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标准化托盘使用率占比达到40%。</w:t>
            </w:r>
          </w:p>
        </w:tc>
        <w:tc>
          <w:tcPr>
            <w:tcW w:w="1321"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2025年底</w:t>
            </w:r>
          </w:p>
        </w:tc>
        <w:tc>
          <w:tcPr>
            <w:tcW w:w="2503" w:type="dxa"/>
            <w:tcBorders>
              <w:top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2240" w:type="dxa"/>
            <w:vMerge w:val="restart"/>
            <w:tcBorders>
              <w:left w:val="single" w:color="auto" w:sz="4" w:space="0"/>
            </w:tcBorders>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kern w:val="0"/>
                <w:sz w:val="24"/>
              </w:rPr>
            </w:pPr>
            <w:r>
              <w:rPr>
                <w:rFonts w:hint="eastAsia" w:ascii="楷体" w:hAnsi="楷体" w:eastAsia="楷体" w:cs="楷体"/>
                <w:b/>
                <w:bCs/>
                <w:kern w:val="0"/>
                <w:sz w:val="28"/>
                <w:szCs w:val="28"/>
                <w:lang w:bidi="ar"/>
              </w:rPr>
              <w:t>5.推广现代信息技术应用</w:t>
            </w:r>
          </w:p>
        </w:tc>
        <w:tc>
          <w:tcPr>
            <w:tcW w:w="4714" w:type="dxa"/>
            <w:tcBorders>
              <w:top w:val="single" w:color="auto" w:sz="4" w:space="0"/>
              <w:bottom w:val="single" w:color="auto" w:sz="4" w:space="0"/>
            </w:tcBorders>
            <w:vAlign w:val="center"/>
          </w:tcPr>
          <w:p>
            <w:pPr>
              <w:pageBreakBefore w:val="0"/>
              <w:kinsoku/>
              <w:overflowPunct/>
              <w:topLinePunct w:val="0"/>
              <w:bidi w:val="0"/>
              <w:spacing w:line="56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
              </w:rPr>
              <w:t>（</w:t>
            </w:r>
            <w:r>
              <w:rPr>
                <w:rFonts w:hint="eastAsia" w:ascii="仿宋_GB2312" w:hAnsi="仿宋_GB2312" w:eastAsia="仿宋_GB2312" w:cs="仿宋_GB2312"/>
                <w:kern w:val="0"/>
                <w:sz w:val="24"/>
              </w:rPr>
              <w:t>14</w:t>
            </w:r>
            <w:r>
              <w:rPr>
                <w:rFonts w:hint="eastAsia" w:ascii="仿宋_GB2312" w:hAnsi="仿宋_GB2312" w:eastAsia="仿宋_GB2312" w:cs="仿宋_GB2312"/>
                <w:kern w:val="0"/>
                <w:sz w:val="24"/>
                <w:lang w:val="en"/>
              </w:rPr>
              <w:t>）深入实施</w:t>
            </w:r>
            <w:r>
              <w:rPr>
                <w:rFonts w:ascii="仿宋_GB2312" w:hAnsi="仿宋_GB2312" w:eastAsia="仿宋_GB2312" w:cs="仿宋_GB2312"/>
                <w:kern w:val="0"/>
                <w:sz w:val="24"/>
                <w:lang w:val="en"/>
              </w:rPr>
              <w:t>“</w:t>
            </w:r>
            <w:r>
              <w:rPr>
                <w:rFonts w:hint="eastAsia" w:ascii="仿宋_GB2312" w:hAnsi="仿宋_GB2312" w:eastAsia="仿宋_GB2312" w:cs="仿宋_GB2312"/>
                <w:kern w:val="0"/>
                <w:sz w:val="24"/>
                <w:lang w:val="en"/>
              </w:rPr>
              <w:t>互联网</w:t>
            </w:r>
            <w:r>
              <w:rPr>
                <w:rFonts w:ascii="仿宋_GB2312" w:hAnsi="仿宋_GB2312" w:eastAsia="仿宋_GB2312" w:cs="仿宋_GB2312"/>
                <w:kern w:val="0"/>
                <w:sz w:val="24"/>
                <w:lang w:val="en"/>
              </w:rPr>
              <w:t>+”</w:t>
            </w:r>
            <w:r>
              <w:rPr>
                <w:rFonts w:hint="eastAsia" w:ascii="仿宋_GB2312" w:hAnsi="仿宋_GB2312" w:eastAsia="仿宋_GB2312" w:cs="仿宋_GB2312"/>
                <w:kern w:val="0"/>
                <w:sz w:val="24"/>
                <w:lang w:val="en"/>
              </w:rPr>
              <w:t>高效物流行动，构建多层次物流信息服务平台，促进从上游供应商到下游销售商的全流程信息共享。</w:t>
            </w:r>
          </w:p>
        </w:tc>
        <w:tc>
          <w:tcPr>
            <w:tcW w:w="3539" w:type="dxa"/>
            <w:tcBorders>
              <w:top w:val="single" w:color="auto" w:sz="4" w:space="0"/>
              <w:bottom w:val="single" w:color="auto" w:sz="4" w:space="0"/>
            </w:tcBorders>
            <w:vAlign w:val="center"/>
          </w:tcPr>
          <w:p>
            <w:pPr>
              <w:pageBreakBefore w:val="0"/>
              <w:kinsoku/>
              <w:overflowPunct/>
              <w:topLinePunct w:val="0"/>
              <w:bidi w:val="0"/>
              <w:spacing w:line="560" w:lineRule="exact"/>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全省商贸物流信息化普及率达到90%。</w:t>
            </w:r>
          </w:p>
        </w:tc>
        <w:tc>
          <w:tcPr>
            <w:tcW w:w="1321" w:type="dxa"/>
            <w:tcBorders>
              <w:top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2025年底</w:t>
            </w:r>
          </w:p>
        </w:tc>
        <w:tc>
          <w:tcPr>
            <w:tcW w:w="2503" w:type="dxa"/>
            <w:tcBorders>
              <w:top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trPr>
        <w:tc>
          <w:tcPr>
            <w:tcW w:w="2240" w:type="dxa"/>
            <w:vMerge w:val="continue"/>
            <w:tcBorders>
              <w:left w:val="single" w:color="auto" w:sz="4" w:space="0"/>
            </w:tcBorders>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kern w:val="0"/>
                <w:sz w:val="24"/>
              </w:rPr>
            </w:pPr>
          </w:p>
        </w:tc>
        <w:tc>
          <w:tcPr>
            <w:tcW w:w="4714" w:type="dxa"/>
            <w:tcBorders>
              <w:top w:val="single" w:color="auto" w:sz="4" w:space="0"/>
              <w:bottom w:val="single" w:color="auto" w:sz="4" w:space="0"/>
            </w:tcBorders>
            <w:vAlign w:val="center"/>
          </w:tcPr>
          <w:p>
            <w:pPr>
              <w:pageBreakBefore w:val="0"/>
              <w:kinsoku/>
              <w:overflowPunct/>
              <w:topLinePunct w:val="0"/>
              <w:bidi w:val="0"/>
              <w:spacing w:line="56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
              </w:rPr>
              <w:t>（</w:t>
            </w:r>
            <w:r>
              <w:rPr>
                <w:rFonts w:hint="eastAsia" w:ascii="仿宋_GB2312" w:hAnsi="仿宋_GB2312" w:eastAsia="仿宋_GB2312" w:cs="仿宋_GB2312"/>
                <w:kern w:val="0"/>
                <w:sz w:val="24"/>
              </w:rPr>
              <w:t>15</w:t>
            </w:r>
            <w:r>
              <w:rPr>
                <w:rFonts w:hint="eastAsia" w:ascii="仿宋_GB2312" w:hAnsi="仿宋_GB2312" w:eastAsia="仿宋_GB2312" w:cs="仿宋_GB2312"/>
                <w:kern w:val="0"/>
                <w:sz w:val="24"/>
                <w:lang w:val="en"/>
              </w:rPr>
              <w:t>）推广应用物联网、云计算、大数据、人工智能、机器人、无线射频识别等先进技术装备，鼓励仓储企业建设智能化立体仓库。</w:t>
            </w:r>
          </w:p>
        </w:tc>
        <w:tc>
          <w:tcPr>
            <w:tcW w:w="3539" w:type="dxa"/>
            <w:tcBorders>
              <w:top w:val="single" w:color="auto" w:sz="4" w:space="0"/>
              <w:bottom w:val="single" w:color="auto" w:sz="4" w:space="0"/>
            </w:tcBorders>
            <w:vAlign w:val="center"/>
          </w:tcPr>
          <w:p>
            <w:pPr>
              <w:pageBreakBefore w:val="0"/>
              <w:kinsoku/>
              <w:overflowPunct/>
              <w:topLinePunct w:val="0"/>
              <w:bidi w:val="0"/>
              <w:spacing w:line="56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
              </w:rPr>
              <w:t>扩大自动分拣、快速分拣、智能配货等仓储物流技术的应用范围。</w:t>
            </w:r>
          </w:p>
        </w:tc>
        <w:tc>
          <w:tcPr>
            <w:tcW w:w="1321" w:type="dxa"/>
            <w:tcBorders>
              <w:top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2025年底</w:t>
            </w:r>
          </w:p>
        </w:tc>
        <w:tc>
          <w:tcPr>
            <w:tcW w:w="2503" w:type="dxa"/>
            <w:tcBorders>
              <w:top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trPr>
        <w:tc>
          <w:tcPr>
            <w:tcW w:w="2240" w:type="dxa"/>
            <w:vMerge w:val="continue"/>
            <w:tcBorders>
              <w:left w:val="single" w:color="auto" w:sz="4" w:space="0"/>
            </w:tcBorders>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kern w:val="0"/>
                <w:sz w:val="24"/>
              </w:rPr>
            </w:pPr>
          </w:p>
        </w:tc>
        <w:tc>
          <w:tcPr>
            <w:tcW w:w="4714" w:type="dxa"/>
            <w:tcBorders>
              <w:top w:val="single" w:color="auto" w:sz="4" w:space="0"/>
              <w:bottom w:val="single" w:color="auto" w:sz="4" w:space="0"/>
            </w:tcBorders>
            <w:vAlign w:val="center"/>
          </w:tcPr>
          <w:p>
            <w:pPr>
              <w:pageBreakBefore w:val="0"/>
              <w:kinsoku/>
              <w:overflowPunct/>
              <w:topLinePunct w:val="0"/>
              <w:bidi w:val="0"/>
              <w:spacing w:line="56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
              </w:rPr>
              <w:t>（</w:t>
            </w:r>
            <w:r>
              <w:rPr>
                <w:rFonts w:hint="eastAsia" w:ascii="仿宋_GB2312" w:hAnsi="仿宋_GB2312" w:eastAsia="仿宋_GB2312" w:cs="仿宋_GB2312"/>
                <w:kern w:val="0"/>
                <w:sz w:val="24"/>
              </w:rPr>
              <w:t>16</w:t>
            </w:r>
            <w:r>
              <w:rPr>
                <w:rFonts w:hint="eastAsia" w:ascii="仿宋_GB2312" w:hAnsi="仿宋_GB2312" w:eastAsia="仿宋_GB2312" w:cs="仿宋_GB2312"/>
                <w:kern w:val="0"/>
                <w:sz w:val="24"/>
                <w:lang w:val="en"/>
              </w:rPr>
              <w:t>）鼓励配送企业统一安装具有导航定位、运力资源调配、全程揽派货物、实时路径规划等功能的智能车载设备。</w:t>
            </w:r>
          </w:p>
        </w:tc>
        <w:tc>
          <w:tcPr>
            <w:tcW w:w="3539" w:type="dxa"/>
            <w:tcBorders>
              <w:top w:val="single" w:color="auto" w:sz="4" w:space="0"/>
              <w:bottom w:val="single" w:color="auto" w:sz="4" w:space="0"/>
            </w:tcBorders>
            <w:vAlign w:val="center"/>
          </w:tcPr>
          <w:p>
            <w:pPr>
              <w:pageBreakBefore w:val="0"/>
              <w:kinsoku/>
              <w:overflowPunct/>
              <w:topLinePunct w:val="0"/>
              <w:bidi w:val="0"/>
              <w:spacing w:line="56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
              </w:rPr>
              <w:t>实现对物流配送车辆、人员、环境及安全、温控等要素的实时监控和反馈。</w:t>
            </w:r>
          </w:p>
        </w:tc>
        <w:tc>
          <w:tcPr>
            <w:tcW w:w="1321" w:type="dxa"/>
            <w:tcBorders>
              <w:top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2025年底</w:t>
            </w:r>
          </w:p>
        </w:tc>
        <w:tc>
          <w:tcPr>
            <w:tcW w:w="2503" w:type="dxa"/>
            <w:tcBorders>
              <w:top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2240" w:type="dxa"/>
            <w:vMerge w:val="continue"/>
            <w:tcBorders>
              <w:left w:val="single" w:color="auto" w:sz="4" w:space="0"/>
            </w:tcBorders>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kern w:val="0"/>
                <w:sz w:val="24"/>
              </w:rPr>
            </w:pPr>
          </w:p>
        </w:tc>
        <w:tc>
          <w:tcPr>
            <w:tcW w:w="4714" w:type="dxa"/>
            <w:tcBorders>
              <w:top w:val="single" w:color="auto" w:sz="4" w:space="0"/>
              <w:bottom w:val="single" w:color="auto" w:sz="4" w:space="0"/>
            </w:tcBorders>
            <w:vAlign w:val="center"/>
          </w:tcPr>
          <w:p>
            <w:pPr>
              <w:pageBreakBefore w:val="0"/>
              <w:kinsoku/>
              <w:overflowPunct/>
              <w:topLinePunct w:val="0"/>
              <w:bidi w:val="0"/>
              <w:spacing w:line="56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
              </w:rPr>
              <w:t>（</w:t>
            </w:r>
            <w:r>
              <w:rPr>
                <w:rFonts w:hint="eastAsia" w:ascii="仿宋_GB2312" w:hAnsi="仿宋_GB2312" w:eastAsia="仿宋_GB2312" w:cs="仿宋_GB2312"/>
                <w:kern w:val="0"/>
                <w:sz w:val="24"/>
              </w:rPr>
              <w:t>17</w:t>
            </w:r>
            <w:r>
              <w:rPr>
                <w:rFonts w:hint="eastAsia" w:ascii="仿宋_GB2312" w:hAnsi="仿宋_GB2312" w:eastAsia="仿宋_GB2312" w:cs="仿宋_GB2312"/>
                <w:kern w:val="0"/>
                <w:sz w:val="24"/>
                <w:lang w:val="en"/>
              </w:rPr>
              <w:t>）推广智能信报箱、智能快件箱等收投终端和无人机、无人车、智运快线等先进配送技术的应用。</w:t>
            </w:r>
          </w:p>
        </w:tc>
        <w:tc>
          <w:tcPr>
            <w:tcW w:w="3539" w:type="dxa"/>
            <w:tcBorders>
              <w:top w:val="single" w:color="auto" w:sz="4" w:space="0"/>
              <w:bottom w:val="single" w:color="auto" w:sz="4" w:space="0"/>
            </w:tcBorders>
            <w:vAlign w:val="center"/>
          </w:tcPr>
          <w:p>
            <w:pPr>
              <w:pageBreakBefore w:val="0"/>
              <w:kinsoku/>
              <w:overflowPunct/>
              <w:topLinePunct w:val="0"/>
              <w:bidi w:val="0"/>
              <w:spacing w:line="56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
              </w:rPr>
              <w:t>推动新零售背景下末端物流配送的</w:t>
            </w:r>
            <w:r>
              <w:rPr>
                <w:rFonts w:hint="eastAsia" w:ascii="仿宋_GB2312" w:hAnsi="仿宋_GB2312" w:eastAsia="仿宋_GB2312" w:cs="仿宋_GB2312"/>
                <w:kern w:val="0"/>
                <w:sz w:val="24"/>
              </w:rPr>
              <w:t>智能化改造</w:t>
            </w:r>
            <w:r>
              <w:rPr>
                <w:rFonts w:hint="eastAsia" w:ascii="仿宋_GB2312" w:hAnsi="仿宋_GB2312" w:eastAsia="仿宋_GB2312" w:cs="仿宋_GB2312"/>
                <w:kern w:val="0"/>
                <w:sz w:val="24"/>
                <w:lang w:val="en"/>
              </w:rPr>
              <w:t>。</w:t>
            </w:r>
          </w:p>
        </w:tc>
        <w:tc>
          <w:tcPr>
            <w:tcW w:w="1321" w:type="dxa"/>
            <w:tcBorders>
              <w:top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2025年底</w:t>
            </w:r>
          </w:p>
        </w:tc>
        <w:tc>
          <w:tcPr>
            <w:tcW w:w="2503" w:type="dxa"/>
            <w:tcBorders>
              <w:top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4" w:hRule="atLeast"/>
        </w:trPr>
        <w:tc>
          <w:tcPr>
            <w:tcW w:w="2240" w:type="dxa"/>
            <w:vMerge w:val="restart"/>
            <w:tcBorders>
              <w:left w:val="single" w:color="auto" w:sz="4" w:space="0"/>
            </w:tcBorders>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kern w:val="0"/>
                <w:sz w:val="24"/>
              </w:rPr>
            </w:pPr>
            <w:r>
              <w:rPr>
                <w:rFonts w:hint="eastAsia" w:ascii="楷体" w:hAnsi="楷体" w:eastAsia="楷体" w:cs="楷体"/>
                <w:b/>
                <w:bCs/>
                <w:kern w:val="0"/>
                <w:sz w:val="28"/>
                <w:szCs w:val="28"/>
                <w:lang w:bidi="ar"/>
              </w:rPr>
              <w:t>6.加快冷链物流发展</w:t>
            </w:r>
          </w:p>
        </w:tc>
        <w:tc>
          <w:tcPr>
            <w:tcW w:w="4714" w:type="dxa"/>
            <w:tcBorders>
              <w:top w:val="single" w:color="auto" w:sz="4" w:space="0"/>
              <w:bottom w:val="single" w:color="auto" w:sz="4" w:space="0"/>
            </w:tcBorders>
            <w:vAlign w:val="center"/>
          </w:tcPr>
          <w:p>
            <w:pPr>
              <w:pageBreakBefore w:val="0"/>
              <w:kinsoku/>
              <w:overflowPunct/>
              <w:topLinePunct w:val="0"/>
              <w:bidi w:val="0"/>
              <w:spacing w:line="56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（18）加强冷链物流规划，</w:t>
            </w:r>
            <w:r>
              <w:rPr>
                <w:rFonts w:hint="eastAsia" w:ascii="仿宋_GB2312" w:hAnsi="仿宋_GB2312" w:eastAsia="仿宋_GB2312" w:cs="仿宋_GB2312"/>
                <w:kern w:val="0"/>
                <w:sz w:val="24"/>
                <w:lang w:val="en"/>
              </w:rPr>
              <w:t>支持南昌、上饶、赣州等地积极申报国家骨干冷链物流基地，构建以物流枢纽和物流园区为支撑的冷链物流</w:t>
            </w:r>
            <w:r>
              <w:rPr>
                <w:rFonts w:hint="eastAsia" w:ascii="仿宋_GB2312" w:hAnsi="仿宋_GB2312" w:eastAsia="仿宋_GB2312" w:cs="仿宋_GB2312"/>
                <w:kern w:val="0"/>
                <w:sz w:val="24"/>
                <w:lang w:val="en" w:eastAsia="zh-CN"/>
              </w:rPr>
              <w:t>网络</w:t>
            </w:r>
            <w:r>
              <w:rPr>
                <w:rFonts w:hint="eastAsia" w:ascii="仿宋_GB2312" w:hAnsi="仿宋_GB2312" w:eastAsia="仿宋_GB2312" w:cs="仿宋_GB2312"/>
                <w:kern w:val="0"/>
                <w:sz w:val="24"/>
                <w:lang w:val="en"/>
              </w:rPr>
              <w:t>。</w:t>
            </w:r>
          </w:p>
        </w:tc>
        <w:tc>
          <w:tcPr>
            <w:tcW w:w="3539" w:type="dxa"/>
            <w:tcBorders>
              <w:top w:val="single" w:color="auto" w:sz="4" w:space="0"/>
              <w:bottom w:val="single" w:color="auto" w:sz="4" w:space="0"/>
            </w:tcBorders>
            <w:vAlign w:val="center"/>
          </w:tcPr>
          <w:p>
            <w:pPr>
              <w:pageBreakBefore w:val="0"/>
              <w:kinsoku/>
              <w:overflowPunct/>
              <w:topLinePunct w:val="0"/>
              <w:bidi w:val="0"/>
              <w:spacing w:line="560" w:lineRule="exact"/>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建成若干个全国性农产品冷链物流基地、8个设区市骨干冷链物流基地，改造提升70个左右区域农产品产地仓储冷链物流设施。</w:t>
            </w:r>
          </w:p>
        </w:tc>
        <w:tc>
          <w:tcPr>
            <w:tcW w:w="1321" w:type="dxa"/>
            <w:tcBorders>
              <w:top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2025年底</w:t>
            </w:r>
          </w:p>
        </w:tc>
        <w:tc>
          <w:tcPr>
            <w:tcW w:w="2503" w:type="dxa"/>
            <w:tcBorders>
              <w:top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trPr>
        <w:tc>
          <w:tcPr>
            <w:tcW w:w="2240" w:type="dxa"/>
            <w:vMerge w:val="continue"/>
            <w:tcBorders>
              <w:left w:val="single" w:color="auto" w:sz="4" w:space="0"/>
            </w:tcBorders>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kern w:val="0"/>
                <w:sz w:val="24"/>
              </w:rPr>
            </w:pPr>
          </w:p>
        </w:tc>
        <w:tc>
          <w:tcPr>
            <w:tcW w:w="4714" w:type="dxa"/>
            <w:tcBorders>
              <w:top w:val="single" w:color="auto" w:sz="4" w:space="0"/>
              <w:bottom w:val="single" w:color="auto" w:sz="4" w:space="0"/>
            </w:tcBorders>
            <w:vAlign w:val="center"/>
          </w:tcPr>
          <w:p>
            <w:pPr>
              <w:pageBreakBefore w:val="0"/>
              <w:kinsoku/>
              <w:overflowPunct/>
              <w:topLinePunct w:val="0"/>
              <w:bidi w:val="0"/>
              <w:spacing w:line="56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（19）依托农副产品生产加工基地和批发市场、国家指定进境口岸和海关特殊监管区,建设</w:t>
            </w:r>
            <w:r>
              <w:rPr>
                <w:rFonts w:hint="eastAsia" w:ascii="仿宋_GB2312" w:hAnsi="仿宋_GB2312" w:eastAsia="仿宋_GB2312" w:cs="仿宋_GB2312"/>
                <w:kern w:val="0"/>
                <w:sz w:val="24"/>
                <w:lang w:eastAsia="zh-CN"/>
              </w:rPr>
              <w:t>农产品产地仓储保鲜、</w:t>
            </w:r>
            <w:r>
              <w:rPr>
                <w:rFonts w:hint="eastAsia" w:ascii="仿宋_GB2312" w:hAnsi="仿宋_GB2312" w:eastAsia="仿宋_GB2312" w:cs="仿宋_GB2312"/>
                <w:kern w:val="0"/>
                <w:sz w:val="24"/>
              </w:rPr>
              <w:t>流通型冷库等冷链仓储配送设施。</w:t>
            </w:r>
          </w:p>
        </w:tc>
        <w:tc>
          <w:tcPr>
            <w:tcW w:w="3539" w:type="dxa"/>
            <w:tcBorders>
              <w:top w:val="single" w:color="auto" w:sz="4" w:space="0"/>
              <w:bottom w:val="single" w:color="auto" w:sz="4" w:space="0"/>
            </w:tcBorders>
            <w:vAlign w:val="center"/>
          </w:tcPr>
          <w:p>
            <w:pPr>
              <w:pageBreakBefore w:val="0"/>
              <w:kinsoku/>
              <w:overflowPunct/>
              <w:topLinePunct w:val="0"/>
              <w:bidi w:val="0"/>
              <w:spacing w:line="56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全省冷库容量达到400万吨，每万人拥有冷库容量达到全国平均水平。</w:t>
            </w:r>
          </w:p>
        </w:tc>
        <w:tc>
          <w:tcPr>
            <w:tcW w:w="1321" w:type="dxa"/>
            <w:tcBorders>
              <w:top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2025年底</w:t>
            </w:r>
          </w:p>
        </w:tc>
        <w:tc>
          <w:tcPr>
            <w:tcW w:w="2503" w:type="dxa"/>
            <w:tcBorders>
              <w:top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2240" w:type="dxa"/>
            <w:vMerge w:val="continue"/>
            <w:tcBorders>
              <w:left w:val="single" w:color="auto" w:sz="4" w:space="0"/>
            </w:tcBorders>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kern w:val="0"/>
                <w:sz w:val="24"/>
              </w:rPr>
            </w:pPr>
          </w:p>
        </w:tc>
        <w:tc>
          <w:tcPr>
            <w:tcW w:w="4714" w:type="dxa"/>
            <w:tcBorders>
              <w:top w:val="single" w:color="auto" w:sz="4" w:space="0"/>
              <w:bottom w:val="single" w:color="auto" w:sz="4" w:space="0"/>
            </w:tcBorders>
            <w:vAlign w:val="center"/>
          </w:tcPr>
          <w:p>
            <w:pPr>
              <w:pageBreakBefore w:val="0"/>
              <w:kinsoku/>
              <w:overflowPunct/>
              <w:topLinePunct w:val="0"/>
              <w:bidi w:val="0"/>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24"/>
                <w:lang w:val="en"/>
              </w:rPr>
              <w:t>（</w:t>
            </w:r>
            <w:r>
              <w:rPr>
                <w:rFonts w:hint="eastAsia" w:ascii="仿宋_GB2312" w:hAnsi="仿宋_GB2312" w:eastAsia="仿宋_GB2312" w:cs="仿宋_GB2312"/>
                <w:kern w:val="0"/>
                <w:sz w:val="24"/>
              </w:rPr>
              <w:t>20</w:t>
            </w:r>
            <w:r>
              <w:rPr>
                <w:rFonts w:hint="eastAsia" w:ascii="仿宋_GB2312" w:hAnsi="仿宋_GB2312" w:eastAsia="仿宋_GB2312" w:cs="仿宋_GB2312"/>
                <w:kern w:val="0"/>
                <w:sz w:val="24"/>
                <w:lang w:val="en"/>
              </w:rPr>
              <w:t>）加强冷链自提柜、储藏柜、社区配送站等末端节点建设，推广冷藏箱、保温周转箱、箱体蓄冷等</w:t>
            </w:r>
            <w:r>
              <w:rPr>
                <w:rFonts w:hint="eastAsia" w:ascii="仿宋_GB2312" w:hAnsi="仿宋_GB2312" w:eastAsia="仿宋_GB2312" w:cs="仿宋_GB2312"/>
                <w:kern w:val="0"/>
                <w:sz w:val="24"/>
                <w:lang w:val="en" w:eastAsia="zh-CN"/>
              </w:rPr>
              <w:t>冷链</w:t>
            </w:r>
            <w:r>
              <w:rPr>
                <w:rFonts w:hint="eastAsia" w:ascii="仿宋_GB2312" w:hAnsi="仿宋_GB2312" w:eastAsia="仿宋_GB2312" w:cs="仿宋_GB2312"/>
                <w:kern w:val="0"/>
                <w:sz w:val="24"/>
                <w:lang w:val="en"/>
              </w:rPr>
              <w:t>设备和技术。</w:t>
            </w:r>
          </w:p>
        </w:tc>
        <w:tc>
          <w:tcPr>
            <w:tcW w:w="3539" w:type="dxa"/>
            <w:tcBorders>
              <w:top w:val="single" w:color="auto" w:sz="4" w:space="0"/>
              <w:bottom w:val="single" w:color="auto" w:sz="4" w:space="0"/>
            </w:tcBorders>
            <w:vAlign w:val="center"/>
          </w:tcPr>
          <w:p>
            <w:pPr>
              <w:pageBreakBefore w:val="0"/>
              <w:kinsoku/>
              <w:overflowPunct/>
              <w:topLinePunct w:val="0"/>
              <w:bidi w:val="0"/>
              <w:spacing w:line="56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
              </w:rPr>
              <w:t>基本实现城市“最后一公里”低温配送。</w:t>
            </w:r>
          </w:p>
        </w:tc>
        <w:tc>
          <w:tcPr>
            <w:tcW w:w="1321" w:type="dxa"/>
            <w:tcBorders>
              <w:top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2025年底</w:t>
            </w:r>
          </w:p>
        </w:tc>
        <w:tc>
          <w:tcPr>
            <w:tcW w:w="2503" w:type="dxa"/>
            <w:tcBorders>
              <w:top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2240" w:type="dxa"/>
            <w:vMerge w:val="continue"/>
            <w:tcBorders>
              <w:left w:val="single" w:color="auto" w:sz="4" w:space="0"/>
            </w:tcBorders>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kern w:val="0"/>
                <w:sz w:val="24"/>
              </w:rPr>
            </w:pPr>
          </w:p>
        </w:tc>
        <w:tc>
          <w:tcPr>
            <w:tcW w:w="4714" w:type="dxa"/>
            <w:tcBorders>
              <w:top w:val="single" w:color="auto" w:sz="4" w:space="0"/>
              <w:bottom w:val="single" w:color="auto" w:sz="4" w:space="0"/>
            </w:tcBorders>
            <w:vAlign w:val="center"/>
          </w:tcPr>
          <w:p>
            <w:pPr>
              <w:pageBreakBefore w:val="0"/>
              <w:kinsoku/>
              <w:overflowPunct/>
              <w:topLinePunct w:val="0"/>
              <w:bidi w:val="0"/>
              <w:spacing w:line="56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（21）鼓励有条件的企业发展冷链物流智能监控与追溯平台，建立全程冷链配送系统。</w:t>
            </w:r>
          </w:p>
        </w:tc>
        <w:tc>
          <w:tcPr>
            <w:tcW w:w="3539" w:type="dxa"/>
            <w:tcBorders>
              <w:top w:val="single" w:color="auto" w:sz="4" w:space="0"/>
              <w:bottom w:val="single" w:color="auto" w:sz="4" w:space="0"/>
            </w:tcBorders>
            <w:vAlign w:val="center"/>
          </w:tcPr>
          <w:p>
            <w:pPr>
              <w:pageBreakBefore w:val="0"/>
              <w:kinsoku/>
              <w:overflowPunct/>
              <w:topLinePunct w:val="0"/>
              <w:bidi w:val="0"/>
              <w:spacing w:line="560" w:lineRule="exact"/>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建立完整的冷链食品质量追溯链条，提升质量保障水平。</w:t>
            </w:r>
          </w:p>
        </w:tc>
        <w:tc>
          <w:tcPr>
            <w:tcW w:w="1321" w:type="dxa"/>
            <w:tcBorders>
              <w:top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2025年底</w:t>
            </w:r>
          </w:p>
        </w:tc>
        <w:tc>
          <w:tcPr>
            <w:tcW w:w="2503" w:type="dxa"/>
            <w:tcBorders>
              <w:top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2240" w:type="dxa"/>
            <w:vMerge w:val="restart"/>
            <w:tcBorders>
              <w:left w:val="single" w:color="auto" w:sz="4" w:space="0"/>
            </w:tcBorders>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kern w:val="0"/>
                <w:sz w:val="24"/>
              </w:rPr>
            </w:pPr>
            <w:r>
              <w:rPr>
                <w:rFonts w:hint="eastAsia" w:ascii="楷体" w:hAnsi="楷体" w:eastAsia="楷体" w:cs="楷体"/>
                <w:b/>
                <w:bCs/>
                <w:kern w:val="0"/>
                <w:sz w:val="28"/>
                <w:szCs w:val="28"/>
                <w:lang w:bidi="ar"/>
              </w:rPr>
              <w:t>7.推动商贸物流绿色低碳发展</w:t>
            </w:r>
          </w:p>
        </w:tc>
        <w:tc>
          <w:tcPr>
            <w:tcW w:w="4714" w:type="dxa"/>
            <w:tcBorders>
              <w:top w:val="single" w:color="auto" w:sz="4" w:space="0"/>
              <w:bottom w:val="single" w:color="auto" w:sz="4" w:space="0"/>
            </w:tcBorders>
            <w:vAlign w:val="center"/>
          </w:tcPr>
          <w:p>
            <w:pPr>
              <w:pageBreakBefore w:val="0"/>
              <w:kinsoku/>
              <w:overflowPunct/>
              <w:topLinePunct w:val="0"/>
              <w:bidi w:val="0"/>
              <w:spacing w:line="560" w:lineRule="exact"/>
              <w:textAlignment w:val="auto"/>
              <w:rPr>
                <w:rFonts w:hint="eastAsia" w:ascii="仿宋_GB2312" w:hAnsi="仿宋_GB2312" w:eastAsia="仿宋_GB2312" w:cs="仿宋_GB2312"/>
                <w:kern w:val="2"/>
                <w:sz w:val="24"/>
              </w:rPr>
            </w:pPr>
            <w:r>
              <w:rPr>
                <w:rFonts w:hint="eastAsia" w:ascii="仿宋_GB2312" w:hAnsi="仿宋_GB2312" w:eastAsia="仿宋_GB2312" w:cs="仿宋_GB2312"/>
                <w:kern w:val="0"/>
                <w:sz w:val="24"/>
              </w:rPr>
              <w:t>（22）推广顶光伏发电、冷库节能、节能照明等新材料、新技术、新设备在仓储中的应用。</w:t>
            </w:r>
          </w:p>
        </w:tc>
        <w:tc>
          <w:tcPr>
            <w:tcW w:w="3539" w:type="dxa"/>
            <w:tcBorders>
              <w:top w:val="single" w:color="auto" w:sz="4" w:space="0"/>
              <w:bottom w:val="single" w:color="auto" w:sz="4" w:space="0"/>
            </w:tcBorders>
            <w:vAlign w:val="center"/>
          </w:tcPr>
          <w:p>
            <w:pPr>
              <w:pageBreakBefore w:val="0"/>
              <w:kinsoku/>
              <w:overflowPunct/>
              <w:topLinePunct w:val="0"/>
              <w:bidi w:val="0"/>
              <w:spacing w:line="560" w:lineRule="exact"/>
              <w:textAlignment w:val="auto"/>
              <w:rPr>
                <w:rFonts w:hint="eastAsia" w:ascii="仿宋_GB2312" w:hAnsi="仿宋_GB2312" w:eastAsia="仿宋_GB2312" w:cs="仿宋_GB2312"/>
                <w:kern w:val="2"/>
                <w:sz w:val="24"/>
                <w:lang w:eastAsia="zh-CN"/>
              </w:rPr>
            </w:pPr>
            <w:r>
              <w:rPr>
                <w:rFonts w:hint="eastAsia" w:ascii="仿宋_GB2312" w:hAnsi="仿宋_GB2312" w:eastAsia="仿宋_GB2312" w:cs="仿宋_GB2312"/>
                <w:kern w:val="0"/>
                <w:sz w:val="24"/>
              </w:rPr>
              <w:t>提高绿色仓库比例</w:t>
            </w:r>
            <w:r>
              <w:rPr>
                <w:rFonts w:hint="eastAsia" w:ascii="仿宋_GB2312" w:hAnsi="仿宋_GB2312" w:eastAsia="仿宋_GB2312" w:cs="仿宋_GB2312"/>
                <w:kern w:val="0"/>
                <w:sz w:val="24"/>
                <w:lang w:eastAsia="zh-CN"/>
              </w:rPr>
              <w:t>。</w:t>
            </w:r>
          </w:p>
        </w:tc>
        <w:tc>
          <w:tcPr>
            <w:tcW w:w="1321" w:type="dxa"/>
            <w:tcBorders>
              <w:top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kern w:val="2"/>
                <w:sz w:val="24"/>
              </w:rPr>
            </w:pPr>
            <w:r>
              <w:rPr>
                <w:rFonts w:hint="eastAsia" w:ascii="仿宋_GB2312" w:hAnsi="仿宋_GB2312" w:eastAsia="仿宋_GB2312" w:cs="仿宋_GB2312"/>
                <w:kern w:val="0"/>
                <w:sz w:val="24"/>
              </w:rPr>
              <w:t>2025年底</w:t>
            </w:r>
          </w:p>
        </w:tc>
        <w:tc>
          <w:tcPr>
            <w:tcW w:w="2503" w:type="dxa"/>
            <w:tcBorders>
              <w:top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2240" w:type="dxa"/>
            <w:vMerge w:val="continue"/>
            <w:tcBorders>
              <w:left w:val="single" w:color="auto" w:sz="4" w:space="0"/>
            </w:tcBorders>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kern w:val="0"/>
                <w:sz w:val="24"/>
              </w:rPr>
            </w:pPr>
          </w:p>
        </w:tc>
        <w:tc>
          <w:tcPr>
            <w:tcW w:w="4714" w:type="dxa"/>
            <w:tcBorders>
              <w:top w:val="single" w:color="auto" w:sz="4" w:space="0"/>
              <w:bottom w:val="single" w:color="auto" w:sz="4" w:space="0"/>
            </w:tcBorders>
            <w:vAlign w:val="center"/>
          </w:tcPr>
          <w:p>
            <w:pPr>
              <w:pageBreakBefore w:val="0"/>
              <w:kinsoku/>
              <w:overflowPunct/>
              <w:topLinePunct w:val="0"/>
              <w:bidi w:val="0"/>
              <w:spacing w:line="560" w:lineRule="exact"/>
              <w:textAlignment w:val="auto"/>
              <w:rPr>
                <w:rFonts w:hint="eastAsia" w:ascii="仿宋_GB2312" w:hAnsi="仿宋_GB2312" w:eastAsia="仿宋_GB2312" w:cs="仿宋_GB2312"/>
                <w:kern w:val="2"/>
                <w:sz w:val="24"/>
              </w:rPr>
            </w:pPr>
            <w:r>
              <w:rPr>
                <w:rFonts w:hint="eastAsia" w:ascii="仿宋_GB2312" w:hAnsi="仿宋_GB2312" w:eastAsia="仿宋_GB2312" w:cs="仿宋_GB2312"/>
                <w:kern w:val="0"/>
                <w:sz w:val="24"/>
              </w:rPr>
              <w:t>（23）鼓励采用电动汽车、气体燃料汽车等新能源、清洁能源车辆，支持南昌、赣州、上饶等地创建绿色货运配送示范工程。</w:t>
            </w:r>
          </w:p>
        </w:tc>
        <w:tc>
          <w:tcPr>
            <w:tcW w:w="3539" w:type="dxa"/>
            <w:tcBorders>
              <w:top w:val="single" w:color="auto" w:sz="4" w:space="0"/>
              <w:bottom w:val="single" w:color="auto" w:sz="4" w:space="0"/>
            </w:tcBorders>
            <w:vAlign w:val="center"/>
          </w:tcPr>
          <w:p>
            <w:pPr>
              <w:pageBreakBefore w:val="0"/>
              <w:kinsoku/>
              <w:overflowPunct/>
              <w:topLinePunct w:val="0"/>
              <w:bidi w:val="0"/>
              <w:spacing w:line="560" w:lineRule="exact"/>
              <w:textAlignment w:val="auto"/>
              <w:rPr>
                <w:rFonts w:hint="eastAsia" w:ascii="仿宋_GB2312" w:hAnsi="仿宋_GB2312" w:eastAsia="仿宋_GB2312" w:cs="仿宋_GB2312"/>
                <w:kern w:val="2"/>
                <w:sz w:val="24"/>
                <w:lang w:eastAsia="zh-CN"/>
              </w:rPr>
            </w:pPr>
            <w:r>
              <w:rPr>
                <w:rFonts w:hint="eastAsia" w:ascii="仿宋_GB2312" w:hAnsi="仿宋_GB2312" w:eastAsia="仿宋_GB2312" w:cs="仿宋_GB2312"/>
                <w:kern w:val="0"/>
                <w:sz w:val="24"/>
              </w:rPr>
              <w:t>提高新能源配送车辆比例</w:t>
            </w:r>
            <w:r>
              <w:rPr>
                <w:rFonts w:hint="eastAsia" w:ascii="仿宋_GB2312" w:hAnsi="仿宋_GB2312" w:eastAsia="仿宋_GB2312" w:cs="仿宋_GB2312"/>
                <w:kern w:val="0"/>
                <w:sz w:val="24"/>
                <w:lang w:eastAsia="zh-CN"/>
              </w:rPr>
              <w:t>。</w:t>
            </w:r>
          </w:p>
        </w:tc>
        <w:tc>
          <w:tcPr>
            <w:tcW w:w="1321" w:type="dxa"/>
            <w:tcBorders>
              <w:top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kern w:val="2"/>
                <w:sz w:val="24"/>
              </w:rPr>
            </w:pPr>
            <w:r>
              <w:rPr>
                <w:rFonts w:hint="eastAsia" w:ascii="仿宋_GB2312" w:hAnsi="仿宋_GB2312" w:eastAsia="仿宋_GB2312" w:cs="仿宋_GB2312"/>
                <w:kern w:val="0"/>
                <w:sz w:val="24"/>
              </w:rPr>
              <w:t>2025年底</w:t>
            </w:r>
          </w:p>
        </w:tc>
        <w:tc>
          <w:tcPr>
            <w:tcW w:w="2503" w:type="dxa"/>
            <w:tcBorders>
              <w:top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2240" w:type="dxa"/>
            <w:vMerge w:val="continue"/>
            <w:tcBorders>
              <w:left w:val="single" w:color="auto" w:sz="4" w:space="0"/>
            </w:tcBorders>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kern w:val="0"/>
                <w:sz w:val="24"/>
              </w:rPr>
            </w:pPr>
          </w:p>
        </w:tc>
        <w:tc>
          <w:tcPr>
            <w:tcW w:w="4714" w:type="dxa"/>
            <w:tcBorders>
              <w:top w:val="single" w:color="auto" w:sz="4" w:space="0"/>
              <w:bottom w:val="single" w:color="auto" w:sz="4" w:space="0"/>
            </w:tcBorders>
            <w:vAlign w:val="center"/>
          </w:tcPr>
          <w:p>
            <w:pPr>
              <w:pageBreakBefore w:val="0"/>
              <w:kinsoku/>
              <w:overflowPunct/>
              <w:topLinePunct w:val="0"/>
              <w:bidi w:val="0"/>
              <w:spacing w:line="56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lang w:val="en-US" w:eastAsia="zh-CN"/>
              </w:rPr>
              <w:t>24</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鼓励创新包装设计,支持使用标准化、减量化和可降解包装材料,推广单元包装、无包装模式,减少过度包装和二次包装。</w:t>
            </w:r>
          </w:p>
        </w:tc>
        <w:tc>
          <w:tcPr>
            <w:tcW w:w="3539" w:type="dxa"/>
            <w:tcBorders>
              <w:top w:val="single" w:color="auto" w:sz="4" w:space="0"/>
              <w:bottom w:val="single" w:color="auto" w:sz="4" w:space="0"/>
            </w:tcBorders>
            <w:vAlign w:val="center"/>
          </w:tcPr>
          <w:p>
            <w:pPr>
              <w:pageBreakBefore w:val="0"/>
              <w:kinsoku/>
              <w:overflowPunct/>
              <w:topLinePunct w:val="0"/>
              <w:bidi w:val="0"/>
              <w:spacing w:line="560" w:lineRule="exact"/>
              <w:textAlignment w:val="auto"/>
              <w:rPr>
                <w:rFonts w:hint="eastAsia" w:ascii="仿宋_GB2312" w:hAnsi="仿宋_GB2312" w:eastAsia="仿宋_GB2312" w:cs="仿宋_GB2312"/>
                <w:kern w:val="2"/>
                <w:sz w:val="24"/>
                <w:lang w:eastAsia="zh-CN"/>
              </w:rPr>
            </w:pPr>
            <w:r>
              <w:rPr>
                <w:rFonts w:hint="eastAsia" w:ascii="仿宋_GB2312" w:hAnsi="仿宋_GB2312" w:eastAsia="仿宋_GB2312" w:cs="仿宋_GB2312"/>
                <w:kern w:val="0"/>
                <w:sz w:val="24"/>
              </w:rPr>
              <w:t>提高绿色包装比例</w:t>
            </w:r>
            <w:r>
              <w:rPr>
                <w:rFonts w:hint="eastAsia" w:ascii="仿宋_GB2312" w:hAnsi="仿宋_GB2312" w:eastAsia="仿宋_GB2312" w:cs="仿宋_GB2312"/>
                <w:kern w:val="0"/>
                <w:sz w:val="24"/>
                <w:lang w:eastAsia="zh-CN"/>
              </w:rPr>
              <w:t>。</w:t>
            </w:r>
          </w:p>
        </w:tc>
        <w:tc>
          <w:tcPr>
            <w:tcW w:w="1321" w:type="dxa"/>
            <w:tcBorders>
              <w:top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kern w:val="2"/>
                <w:sz w:val="24"/>
              </w:rPr>
            </w:pPr>
            <w:r>
              <w:rPr>
                <w:rFonts w:hint="eastAsia" w:ascii="仿宋_GB2312" w:hAnsi="仿宋_GB2312" w:eastAsia="仿宋_GB2312" w:cs="仿宋_GB2312"/>
                <w:kern w:val="0"/>
                <w:sz w:val="24"/>
              </w:rPr>
              <w:t>2025年底</w:t>
            </w:r>
          </w:p>
        </w:tc>
        <w:tc>
          <w:tcPr>
            <w:tcW w:w="2503" w:type="dxa"/>
            <w:tcBorders>
              <w:top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trPr>
        <w:tc>
          <w:tcPr>
            <w:tcW w:w="2240" w:type="dxa"/>
            <w:vMerge w:val="continue"/>
            <w:tcBorders>
              <w:left w:val="single" w:color="auto" w:sz="4" w:space="0"/>
            </w:tcBorders>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kern w:val="0"/>
                <w:sz w:val="24"/>
              </w:rPr>
            </w:pPr>
          </w:p>
        </w:tc>
        <w:tc>
          <w:tcPr>
            <w:tcW w:w="4714" w:type="dxa"/>
            <w:tcBorders>
              <w:top w:val="single" w:color="auto" w:sz="4" w:space="0"/>
              <w:bottom w:val="single" w:color="auto" w:sz="4" w:space="0"/>
            </w:tcBorders>
            <w:vAlign w:val="center"/>
          </w:tcPr>
          <w:p>
            <w:pPr>
              <w:pageBreakBefore w:val="0"/>
              <w:kinsoku/>
              <w:overflowPunct/>
              <w:topLinePunct w:val="0"/>
              <w:bidi w:val="0"/>
              <w:spacing w:line="56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lang w:val="en-US" w:eastAsia="zh-CN"/>
              </w:rPr>
              <w:t>25</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支持建设绿色分拣中心,提高再生资源收集、仓储、分拣、打包、加工能力,提升再生资源回收网络化、专业化、信息化发展水平。</w:t>
            </w:r>
          </w:p>
          <w:p>
            <w:pPr>
              <w:pageBreakBefore w:val="0"/>
              <w:kinsoku/>
              <w:overflowPunct/>
              <w:topLinePunct w:val="0"/>
              <w:bidi w:val="0"/>
              <w:spacing w:line="560" w:lineRule="exact"/>
              <w:textAlignment w:val="auto"/>
              <w:rPr>
                <w:rFonts w:hint="eastAsia" w:ascii="仿宋_GB2312" w:hAnsi="仿宋_GB2312" w:eastAsia="仿宋_GB2312" w:cs="仿宋_GB2312"/>
                <w:kern w:val="0"/>
                <w:sz w:val="24"/>
              </w:rPr>
            </w:pPr>
          </w:p>
        </w:tc>
        <w:tc>
          <w:tcPr>
            <w:tcW w:w="3539" w:type="dxa"/>
            <w:tcBorders>
              <w:top w:val="single" w:color="auto" w:sz="4" w:space="0"/>
              <w:bottom w:val="single" w:color="auto" w:sz="4" w:space="0"/>
            </w:tcBorders>
            <w:vAlign w:val="center"/>
          </w:tcPr>
          <w:p>
            <w:pPr>
              <w:pageBreakBefore w:val="0"/>
              <w:kinsoku/>
              <w:overflowPunct/>
              <w:topLinePunct w:val="0"/>
              <w:bidi w:val="0"/>
              <w:spacing w:line="560" w:lineRule="exact"/>
              <w:textAlignment w:val="auto"/>
              <w:rPr>
                <w:rFonts w:hint="eastAsia" w:ascii="仿宋_GB2312" w:hAnsi="仿宋_GB2312" w:eastAsia="仿宋_GB2312" w:cs="仿宋_GB2312"/>
                <w:kern w:val="2"/>
                <w:sz w:val="24"/>
                <w:lang w:eastAsia="zh-CN"/>
              </w:rPr>
            </w:pPr>
            <w:r>
              <w:rPr>
                <w:rFonts w:hint="eastAsia" w:ascii="仿宋_GB2312" w:hAnsi="仿宋_GB2312" w:eastAsia="仿宋_GB2312" w:cs="仿宋_GB2312"/>
                <w:kern w:val="0"/>
                <w:sz w:val="24"/>
              </w:rPr>
              <w:t>加快构建商贸物流新型再生资源回收体系</w:t>
            </w:r>
            <w:r>
              <w:rPr>
                <w:rFonts w:hint="eastAsia" w:ascii="仿宋_GB2312" w:hAnsi="仿宋_GB2312" w:eastAsia="仿宋_GB2312" w:cs="仿宋_GB2312"/>
                <w:kern w:val="0"/>
                <w:sz w:val="24"/>
                <w:lang w:eastAsia="zh-CN"/>
              </w:rPr>
              <w:t>。</w:t>
            </w:r>
          </w:p>
        </w:tc>
        <w:tc>
          <w:tcPr>
            <w:tcW w:w="1321" w:type="dxa"/>
            <w:tcBorders>
              <w:top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kern w:val="2"/>
                <w:sz w:val="24"/>
              </w:rPr>
            </w:pPr>
            <w:r>
              <w:rPr>
                <w:rFonts w:hint="eastAsia" w:ascii="仿宋_GB2312" w:hAnsi="仿宋_GB2312" w:eastAsia="仿宋_GB2312" w:cs="仿宋_GB2312"/>
                <w:kern w:val="0"/>
                <w:sz w:val="24"/>
              </w:rPr>
              <w:t>2025年底</w:t>
            </w:r>
          </w:p>
        </w:tc>
        <w:tc>
          <w:tcPr>
            <w:tcW w:w="2503" w:type="dxa"/>
            <w:tcBorders>
              <w:top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240" w:type="dxa"/>
            <w:vMerge w:val="restart"/>
            <w:tcBorders>
              <w:left w:val="single" w:color="auto" w:sz="4" w:space="0"/>
            </w:tcBorders>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kern w:val="0"/>
                <w:sz w:val="24"/>
              </w:rPr>
            </w:pPr>
            <w:r>
              <w:rPr>
                <w:rFonts w:hint="eastAsia" w:ascii="楷体" w:hAnsi="楷体" w:eastAsia="楷体" w:cs="楷体"/>
                <w:b/>
                <w:bCs/>
                <w:kern w:val="0"/>
                <w:sz w:val="28"/>
                <w:szCs w:val="28"/>
                <w:lang w:bidi="ar"/>
              </w:rPr>
              <w:t>8.壮大商贸物流市场主体</w:t>
            </w:r>
          </w:p>
        </w:tc>
        <w:tc>
          <w:tcPr>
            <w:tcW w:w="4714"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kern w:val="0"/>
                <w:sz w:val="24"/>
                <w:lang w:val="en-US" w:eastAsia="zh-CN"/>
              </w:rPr>
              <w:t>6</w:t>
            </w:r>
            <w:r>
              <w:rPr>
                <w:rFonts w:hint="eastAsia" w:ascii="仿宋_GB2312" w:hAnsi="仿宋_GB2312" w:eastAsia="仿宋_GB2312" w:cs="仿宋_GB2312"/>
                <w:kern w:val="0"/>
                <w:sz w:val="24"/>
              </w:rPr>
              <w:t>）支持和鼓励符合条件的商贸企业、物流企业通过兼并重组、上市融资、联盟合作等方式优化整合资源、扩大业务规模，开展技术创新和商业模式创新。</w:t>
            </w:r>
          </w:p>
        </w:tc>
        <w:tc>
          <w:tcPr>
            <w:tcW w:w="353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A级物流企业总数达到400家，其中5A级物流企业10家。</w:t>
            </w:r>
          </w:p>
        </w:tc>
        <w:tc>
          <w:tcPr>
            <w:tcW w:w="1321"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2025年底</w:t>
            </w:r>
          </w:p>
        </w:tc>
        <w:tc>
          <w:tcPr>
            <w:tcW w:w="2503" w:type="dxa"/>
            <w:tcBorders>
              <w:top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9" w:hRule="atLeast"/>
        </w:trPr>
        <w:tc>
          <w:tcPr>
            <w:tcW w:w="2240" w:type="dxa"/>
            <w:vMerge w:val="continue"/>
            <w:tcBorders>
              <w:left w:val="single" w:color="auto" w:sz="4" w:space="0"/>
            </w:tcBorders>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kern w:val="0"/>
                <w:sz w:val="24"/>
              </w:rPr>
            </w:pPr>
          </w:p>
        </w:tc>
        <w:tc>
          <w:tcPr>
            <w:tcW w:w="4714"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（2</w:t>
            </w:r>
            <w:r>
              <w:rPr>
                <w:rFonts w:hint="eastAsia" w:ascii="仿宋_GB2312" w:hAnsi="仿宋_GB2312" w:eastAsia="仿宋_GB2312" w:cs="仿宋_GB2312"/>
                <w:kern w:val="0"/>
                <w:sz w:val="24"/>
                <w:lang w:val="en-US" w:eastAsia="zh-CN"/>
              </w:rPr>
              <w:t>7</w:t>
            </w:r>
            <w:r>
              <w:rPr>
                <w:rFonts w:hint="eastAsia" w:ascii="仿宋_GB2312" w:hAnsi="仿宋_GB2312" w:eastAsia="仿宋_GB2312" w:cs="仿宋_GB2312"/>
                <w:kern w:val="0"/>
                <w:sz w:val="24"/>
              </w:rPr>
              <w:t>）持续开展重点商贸物流园区（中心）和企业认定，培育一批商贸物流产业链“链主”型企业</w:t>
            </w:r>
            <w:r>
              <w:rPr>
                <w:rFonts w:hint="eastAsia" w:ascii="仿宋_GB2312" w:hAnsi="仿宋_GB2312" w:eastAsia="仿宋_GB2312" w:cs="仿宋_GB2312"/>
                <w:kern w:val="0"/>
                <w:sz w:val="24"/>
                <w:lang w:eastAsia="zh-CN"/>
              </w:rPr>
              <w:t>。</w:t>
            </w:r>
          </w:p>
        </w:tc>
        <w:tc>
          <w:tcPr>
            <w:tcW w:w="353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重点商贸物流园区（中心）达到30家，重点商贸物流企业达到150家；星级冷链物流企业达到12家，其中五星级冷链物流企业达到2家。</w:t>
            </w:r>
          </w:p>
        </w:tc>
        <w:tc>
          <w:tcPr>
            <w:tcW w:w="1321"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2025年底</w:t>
            </w:r>
          </w:p>
        </w:tc>
        <w:tc>
          <w:tcPr>
            <w:tcW w:w="2503" w:type="dxa"/>
            <w:tcBorders>
              <w:top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2240" w:type="dxa"/>
            <w:vMerge w:val="restart"/>
            <w:tcBorders>
              <w:left w:val="single" w:color="auto" w:sz="4" w:space="0"/>
            </w:tcBorders>
            <w:vAlign w:val="center"/>
          </w:tcPr>
          <w:p>
            <w:pPr>
              <w:pageBreakBefore w:val="0"/>
              <w:kinsoku/>
              <w:overflowPunct/>
              <w:topLinePunct w:val="0"/>
              <w:bidi w:val="0"/>
              <w:spacing w:line="560" w:lineRule="exact"/>
              <w:jc w:val="center"/>
              <w:textAlignment w:val="auto"/>
              <w:rPr>
                <w:rFonts w:hint="eastAsia" w:ascii="楷体" w:hAnsi="楷体" w:eastAsia="楷体" w:cs="楷体"/>
                <w:b/>
                <w:bCs/>
                <w:kern w:val="0"/>
                <w:sz w:val="24"/>
                <w:lang w:bidi="ar"/>
              </w:rPr>
            </w:pPr>
            <w:r>
              <w:rPr>
                <w:rFonts w:hint="eastAsia" w:ascii="楷体" w:hAnsi="楷体" w:eastAsia="楷体" w:cs="楷体"/>
                <w:b/>
                <w:bCs/>
                <w:kern w:val="0"/>
                <w:sz w:val="28"/>
                <w:szCs w:val="28"/>
                <w:lang w:bidi="ar"/>
              </w:rPr>
              <w:t>9.提升供应链物流管理水平</w:t>
            </w:r>
          </w:p>
        </w:tc>
        <w:tc>
          <w:tcPr>
            <w:tcW w:w="4714"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kern w:val="0"/>
                <w:sz w:val="24"/>
                <w:lang w:val="en-US" w:eastAsia="zh-CN"/>
              </w:rPr>
              <w:t>8</w:t>
            </w:r>
            <w:r>
              <w:rPr>
                <w:rFonts w:hint="eastAsia" w:ascii="仿宋_GB2312" w:hAnsi="仿宋_GB2312" w:eastAsia="仿宋_GB2312" w:cs="仿宋_GB2312"/>
                <w:kern w:val="0"/>
                <w:sz w:val="24"/>
              </w:rPr>
              <w:t>）以物流园区、商品市场和连锁企业为骨干,优化供需对接、集中采购、统管库存、支付结算、物流配送等功能。</w:t>
            </w:r>
          </w:p>
        </w:tc>
        <w:tc>
          <w:tcPr>
            <w:tcW w:w="353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FF0000"/>
                <w:kern w:val="0"/>
                <w:sz w:val="24"/>
              </w:rPr>
            </w:pPr>
            <w:r>
              <w:rPr>
                <w:rFonts w:hint="eastAsia" w:ascii="仿宋_GB2312" w:hAnsi="仿宋_GB2312" w:eastAsia="仿宋_GB2312" w:cs="仿宋_GB2312"/>
                <w:kern w:val="0"/>
                <w:sz w:val="24"/>
              </w:rPr>
              <w:t>提高供应链敏捷反应、自动补货及资源共享能力。</w:t>
            </w:r>
          </w:p>
        </w:tc>
        <w:tc>
          <w:tcPr>
            <w:tcW w:w="1321"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2025年底</w:t>
            </w:r>
          </w:p>
        </w:tc>
        <w:tc>
          <w:tcPr>
            <w:tcW w:w="2503" w:type="dxa"/>
            <w:tcBorders>
              <w:top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trPr>
        <w:tc>
          <w:tcPr>
            <w:tcW w:w="2240" w:type="dxa"/>
            <w:vMerge w:val="continue"/>
            <w:tcBorders>
              <w:left w:val="single" w:color="auto" w:sz="4" w:space="0"/>
            </w:tcBorders>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kern w:val="0"/>
                <w:sz w:val="24"/>
              </w:rPr>
            </w:pPr>
          </w:p>
        </w:tc>
        <w:tc>
          <w:tcPr>
            <w:tcW w:w="4714" w:type="dxa"/>
            <w:tcBorders>
              <w:top w:val="single" w:color="auto" w:sz="4" w:space="0"/>
              <w:bottom w:val="single" w:color="auto" w:sz="4" w:space="0"/>
            </w:tcBorders>
            <w:vAlign w:val="center"/>
          </w:tcPr>
          <w:p>
            <w:pPr>
              <w:pageBreakBefore w:val="0"/>
              <w:kinsoku/>
              <w:overflowPunct/>
              <w:topLinePunct w:val="0"/>
              <w:bidi w:val="0"/>
              <w:spacing w:line="560" w:lineRule="exac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kern w:val="0"/>
                <w:sz w:val="24"/>
                <w:lang w:val="en-US" w:eastAsia="zh-CN"/>
              </w:rPr>
              <w:t>9</w:t>
            </w:r>
            <w:r>
              <w:rPr>
                <w:rFonts w:hint="eastAsia" w:ascii="仿宋_GB2312" w:hAnsi="仿宋_GB2312" w:eastAsia="仿宋_GB2312" w:cs="仿宋_GB2312"/>
                <w:kern w:val="0"/>
                <w:sz w:val="24"/>
              </w:rPr>
              <w:t>）推动专业物流企业发展原材料与零部件代理采购、库存控制、线边服务和批发分销等业务。</w:t>
            </w:r>
          </w:p>
        </w:tc>
        <w:tc>
          <w:tcPr>
            <w:tcW w:w="3539" w:type="dxa"/>
            <w:tcBorders>
              <w:top w:val="single" w:color="auto" w:sz="4" w:space="0"/>
              <w:bottom w:val="single" w:color="auto" w:sz="4" w:space="0"/>
            </w:tcBorders>
            <w:vAlign w:val="center"/>
          </w:tcPr>
          <w:p>
            <w:pPr>
              <w:pageBreakBefore w:val="0"/>
              <w:kinsoku/>
              <w:overflowPunct/>
              <w:topLinePunct w:val="0"/>
              <w:bidi w:val="0"/>
              <w:spacing w:line="560" w:lineRule="exact"/>
              <w:textAlignment w:val="auto"/>
              <w:rPr>
                <w:rFonts w:hint="eastAsia" w:ascii="仿宋_GB2312" w:hAnsi="仿宋_GB2312" w:eastAsia="仿宋_GB2312" w:cs="仿宋_GB2312"/>
                <w:color w:val="FF0000"/>
                <w:kern w:val="0"/>
                <w:sz w:val="24"/>
              </w:rPr>
            </w:pPr>
            <w:r>
              <w:rPr>
                <w:rFonts w:hint="eastAsia" w:ascii="仿宋_GB2312" w:hAnsi="仿宋_GB2312" w:eastAsia="仿宋_GB2312" w:cs="仿宋_GB2312"/>
                <w:kern w:val="0"/>
                <w:sz w:val="24"/>
              </w:rPr>
              <w:t>培育一批供应链生产型服务企业。</w:t>
            </w:r>
          </w:p>
        </w:tc>
        <w:tc>
          <w:tcPr>
            <w:tcW w:w="1321" w:type="dxa"/>
            <w:tcBorders>
              <w:top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2025年底</w:t>
            </w:r>
          </w:p>
        </w:tc>
        <w:tc>
          <w:tcPr>
            <w:tcW w:w="2503" w:type="dxa"/>
            <w:tcBorders>
              <w:top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kern w:val="0"/>
                <w:sz w:val="24"/>
              </w:rPr>
            </w:pPr>
          </w:p>
        </w:tc>
      </w:tr>
    </w:tbl>
    <w:p>
      <w:pPr>
        <w:pStyle w:val="7"/>
        <w:pageBreakBefore w:val="0"/>
        <w:kinsoku/>
        <w:wordWrap w:val="0"/>
        <w:overflowPunct/>
        <w:topLinePunct w:val="0"/>
        <w:bidi w:val="0"/>
        <w:spacing w:before="0" w:beforeAutospacing="0" w:after="0" w:afterAutospacing="0" w:line="560" w:lineRule="exact"/>
        <w:jc w:val="both"/>
        <w:textAlignment w:val="auto"/>
        <w:rPr>
          <w:rFonts w:hint="eastAsia" w:ascii="仿宋_GB2312" w:hAnsi="仿宋_GB2312" w:eastAsia="仿宋_GB2312" w:cs="仿宋_GB2312"/>
          <w:sz w:val="32"/>
          <w:szCs w:val="32"/>
          <w:lang w:val="en"/>
        </w:rPr>
      </w:pPr>
    </w:p>
    <w:p>
      <w:pPr>
        <w:pageBreakBefore w:val="0"/>
        <w:kinsoku/>
        <w:overflowPunct/>
        <w:topLinePunct w:val="0"/>
        <w:bidi w:val="0"/>
        <w:spacing w:line="560" w:lineRule="exact"/>
        <w:textAlignment w:val="auto"/>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仿宋S"/>
    <w:panose1 w:val="00000000000000000000"/>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仿宋S">
    <w:panose1 w:val="00020600040101000101"/>
    <w:charset w:val="86"/>
    <w:family w:val="auto"/>
    <w:pitch w:val="default"/>
    <w:sig w:usb0="A00002BF" w:usb1="38CF7CFA" w:usb2="00000016" w:usb3="00000000" w:csb0="0004009F" w:csb1="00000000"/>
  </w:font>
  <w:font w:name="方正宋体S-超大字符集(SIP)">
    <w:panose1 w:val="03000509000000000000"/>
    <w:charset w:val="86"/>
    <w:family w:val="auto"/>
    <w:pitch w:val="default"/>
    <w:sig w:usb0="00000003" w:usb1="0A0E08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378FCB"/>
    <w:multiLevelType w:val="singleLevel"/>
    <w:tmpl w:val="7F378FC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567"/>
    <w:rsid w:val="000B7567"/>
    <w:rsid w:val="00695904"/>
    <w:rsid w:val="007308B2"/>
    <w:rsid w:val="00EC6CA4"/>
    <w:rsid w:val="0FD62923"/>
    <w:rsid w:val="12EF35D1"/>
    <w:rsid w:val="1FCFBB7C"/>
    <w:rsid w:val="2FDF5F9C"/>
    <w:rsid w:val="2FEDAB9E"/>
    <w:rsid w:val="30D3BA70"/>
    <w:rsid w:val="32F4AC0F"/>
    <w:rsid w:val="399FEDE7"/>
    <w:rsid w:val="3B7F70F1"/>
    <w:rsid w:val="3BD59900"/>
    <w:rsid w:val="3BFD4E8C"/>
    <w:rsid w:val="3CFF6D4E"/>
    <w:rsid w:val="3DFCDF9B"/>
    <w:rsid w:val="3E6781FD"/>
    <w:rsid w:val="3EB5A7B5"/>
    <w:rsid w:val="3EF788AC"/>
    <w:rsid w:val="3EFFD327"/>
    <w:rsid w:val="3F135238"/>
    <w:rsid w:val="3F623B57"/>
    <w:rsid w:val="3F67C244"/>
    <w:rsid w:val="3FF04E2A"/>
    <w:rsid w:val="3FFA9718"/>
    <w:rsid w:val="3FFE5A29"/>
    <w:rsid w:val="43DF06F7"/>
    <w:rsid w:val="43F766CA"/>
    <w:rsid w:val="44F5D35B"/>
    <w:rsid w:val="47F6D58D"/>
    <w:rsid w:val="4A8F9097"/>
    <w:rsid w:val="4AF533AB"/>
    <w:rsid w:val="4BC7F379"/>
    <w:rsid w:val="4EFE49FB"/>
    <w:rsid w:val="4F579102"/>
    <w:rsid w:val="518D99E5"/>
    <w:rsid w:val="533C637F"/>
    <w:rsid w:val="55EF71B4"/>
    <w:rsid w:val="57E7F546"/>
    <w:rsid w:val="5BFDAF30"/>
    <w:rsid w:val="5DF5EEE4"/>
    <w:rsid w:val="5DFDA36B"/>
    <w:rsid w:val="5DFE1813"/>
    <w:rsid w:val="5EB49E13"/>
    <w:rsid w:val="5EEFCE3F"/>
    <w:rsid w:val="5FDF7949"/>
    <w:rsid w:val="5FE9600E"/>
    <w:rsid w:val="65DF3AB0"/>
    <w:rsid w:val="67AFE756"/>
    <w:rsid w:val="69A5534E"/>
    <w:rsid w:val="6E5EFBB4"/>
    <w:rsid w:val="6EF741C6"/>
    <w:rsid w:val="6F7FD526"/>
    <w:rsid w:val="6FCCA42D"/>
    <w:rsid w:val="6FDF519B"/>
    <w:rsid w:val="6FEFB2F2"/>
    <w:rsid w:val="75B74CA9"/>
    <w:rsid w:val="75FFD7A2"/>
    <w:rsid w:val="773FFE76"/>
    <w:rsid w:val="779FFA57"/>
    <w:rsid w:val="77BF2047"/>
    <w:rsid w:val="77BFE2A8"/>
    <w:rsid w:val="77D408FE"/>
    <w:rsid w:val="77EF3C60"/>
    <w:rsid w:val="77FFF30B"/>
    <w:rsid w:val="78ACE47F"/>
    <w:rsid w:val="79923323"/>
    <w:rsid w:val="79BA310F"/>
    <w:rsid w:val="7AEE2D17"/>
    <w:rsid w:val="7AF718DA"/>
    <w:rsid w:val="7B392B8C"/>
    <w:rsid w:val="7BCDAE7D"/>
    <w:rsid w:val="7BDF7B72"/>
    <w:rsid w:val="7BDFD597"/>
    <w:rsid w:val="7CFF7D9B"/>
    <w:rsid w:val="7D6EACCF"/>
    <w:rsid w:val="7DA956E1"/>
    <w:rsid w:val="7DD9C887"/>
    <w:rsid w:val="7DFF0403"/>
    <w:rsid w:val="7E6C1F2B"/>
    <w:rsid w:val="7E6FE800"/>
    <w:rsid w:val="7E7A5A16"/>
    <w:rsid w:val="7EEB3870"/>
    <w:rsid w:val="7EEFD49D"/>
    <w:rsid w:val="7F13BFB8"/>
    <w:rsid w:val="7F7F6AFA"/>
    <w:rsid w:val="7FA628A5"/>
    <w:rsid w:val="7FBF5B75"/>
    <w:rsid w:val="7FBFBBD4"/>
    <w:rsid w:val="7FDBCBEC"/>
    <w:rsid w:val="7FDF091E"/>
    <w:rsid w:val="7FEFAB84"/>
    <w:rsid w:val="7FF42043"/>
    <w:rsid w:val="7FF61F5A"/>
    <w:rsid w:val="7FF706CB"/>
    <w:rsid w:val="7FFACCA7"/>
    <w:rsid w:val="7FFF471B"/>
    <w:rsid w:val="7FFFEC8E"/>
    <w:rsid w:val="8F9EEB36"/>
    <w:rsid w:val="9325E784"/>
    <w:rsid w:val="97FB7ADE"/>
    <w:rsid w:val="9A538F3D"/>
    <w:rsid w:val="9EF546CC"/>
    <w:rsid w:val="A77FA51E"/>
    <w:rsid w:val="ABC7BDF9"/>
    <w:rsid w:val="AEFD74B8"/>
    <w:rsid w:val="AFFB572D"/>
    <w:rsid w:val="B7DD4F7B"/>
    <w:rsid w:val="B9F684CC"/>
    <w:rsid w:val="BB773836"/>
    <w:rsid w:val="BBD38EF4"/>
    <w:rsid w:val="BBFA4902"/>
    <w:rsid w:val="BBFDFA72"/>
    <w:rsid w:val="BDFFCF1C"/>
    <w:rsid w:val="BE1F7F46"/>
    <w:rsid w:val="BF432B31"/>
    <w:rsid w:val="BF6BD5A5"/>
    <w:rsid w:val="BF9F0591"/>
    <w:rsid w:val="BFBFC737"/>
    <w:rsid w:val="BFDBBA26"/>
    <w:rsid w:val="BFDF1407"/>
    <w:rsid w:val="BFF73677"/>
    <w:rsid w:val="C77959E3"/>
    <w:rsid w:val="CCB2EDEF"/>
    <w:rsid w:val="CCF56C88"/>
    <w:rsid w:val="CDFFDC87"/>
    <w:rsid w:val="CF5572F7"/>
    <w:rsid w:val="CF7F9225"/>
    <w:rsid w:val="CFEF20A4"/>
    <w:rsid w:val="D2FF2900"/>
    <w:rsid w:val="D3FFE7BC"/>
    <w:rsid w:val="D4DC16E2"/>
    <w:rsid w:val="D57F9ADF"/>
    <w:rsid w:val="D9F36B98"/>
    <w:rsid w:val="DBBEDBAD"/>
    <w:rsid w:val="DBD7E29E"/>
    <w:rsid w:val="DDED03A3"/>
    <w:rsid w:val="DDFFAC5B"/>
    <w:rsid w:val="DEFB2B0A"/>
    <w:rsid w:val="DEFFB3E6"/>
    <w:rsid w:val="DFED85C1"/>
    <w:rsid w:val="DFEDBE8B"/>
    <w:rsid w:val="DFEF23DC"/>
    <w:rsid w:val="DFF9E958"/>
    <w:rsid w:val="E35DFFB4"/>
    <w:rsid w:val="E4F0ADB3"/>
    <w:rsid w:val="E7EFACAD"/>
    <w:rsid w:val="E9354E31"/>
    <w:rsid w:val="EAEDADDB"/>
    <w:rsid w:val="EBFFE273"/>
    <w:rsid w:val="EDFFDFB8"/>
    <w:rsid w:val="EE9E645E"/>
    <w:rsid w:val="EF5FB87C"/>
    <w:rsid w:val="EFBF4355"/>
    <w:rsid w:val="EFCD69F5"/>
    <w:rsid w:val="EFF9AD26"/>
    <w:rsid w:val="EFFFEEFB"/>
    <w:rsid w:val="F0FF1812"/>
    <w:rsid w:val="F16E7CFD"/>
    <w:rsid w:val="F37F9686"/>
    <w:rsid w:val="F59C429A"/>
    <w:rsid w:val="F66755B6"/>
    <w:rsid w:val="F6DE0511"/>
    <w:rsid w:val="F7BFE726"/>
    <w:rsid w:val="F7D9CBF9"/>
    <w:rsid w:val="F7FE2808"/>
    <w:rsid w:val="F92F9025"/>
    <w:rsid w:val="FA4A0DBC"/>
    <w:rsid w:val="FA75608D"/>
    <w:rsid w:val="FAD717F1"/>
    <w:rsid w:val="FAFF0150"/>
    <w:rsid w:val="FAFFC015"/>
    <w:rsid w:val="FB87D6EB"/>
    <w:rsid w:val="FBCF057C"/>
    <w:rsid w:val="FBDAEC2C"/>
    <w:rsid w:val="FBF79009"/>
    <w:rsid w:val="FC7F886A"/>
    <w:rsid w:val="FEBB86EF"/>
    <w:rsid w:val="FEBE8BDE"/>
    <w:rsid w:val="FECF849A"/>
    <w:rsid w:val="FF558050"/>
    <w:rsid w:val="FF7DEA84"/>
    <w:rsid w:val="FF7E7D67"/>
    <w:rsid w:val="FF7F24DE"/>
    <w:rsid w:val="FF9FC3E1"/>
    <w:rsid w:val="FFB75197"/>
    <w:rsid w:val="FFBAC9CD"/>
    <w:rsid w:val="FFCFC1A3"/>
    <w:rsid w:val="FFD706C8"/>
    <w:rsid w:val="FFE7062C"/>
    <w:rsid w:val="FFED6857"/>
    <w:rsid w:val="FFF51B30"/>
    <w:rsid w:val="FFF73224"/>
    <w:rsid w:val="FFFB6D0C"/>
    <w:rsid w:val="FFFBF6BB"/>
    <w:rsid w:val="FFFD82F2"/>
    <w:rsid w:val="FFFE424D"/>
    <w:rsid w:val="FFFF49C5"/>
    <w:rsid w:val="FFFF7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3"/>
    <w:qFormat/>
    <w:uiPriority w:val="99"/>
    <w:pPr>
      <w:keepNext/>
      <w:keepLines/>
      <w:spacing w:line="413" w:lineRule="auto"/>
      <w:outlineLvl w:val="1"/>
    </w:pPr>
    <w:rPr>
      <w:rFonts w:ascii="Arial" w:hAnsi="Arial" w:eastAsia="黑体"/>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
    <w:basedOn w:val="1"/>
    <w:qFormat/>
    <w:uiPriority w:val="0"/>
    <w:pPr>
      <w:autoSpaceDE w:val="0"/>
      <w:autoSpaceDN w:val="0"/>
      <w:adjustRightInd w:val="0"/>
      <w:spacing w:line="360" w:lineRule="auto"/>
      <w:ind w:left="420" w:firstLine="420"/>
      <w:jc w:val="left"/>
    </w:pPr>
    <w:rPr>
      <w:rFonts w:ascii="等线" w:hAnsi="等线"/>
      <w:kern w:val="0"/>
      <w:sz w:val="32"/>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widowControl/>
      <w:spacing w:before="100" w:beforeAutospacing="1" w:after="100" w:afterAutospacing="1" w:line="375" w:lineRule="atLeast"/>
      <w:jc w:val="left"/>
    </w:pPr>
    <w:rPr>
      <w:rFonts w:ascii="宋体" w:hAnsi="宋体" w:cs="宋体"/>
      <w:kern w:val="0"/>
      <w:szCs w:val="21"/>
    </w:rPr>
  </w:style>
  <w:style w:type="table" w:styleId="9">
    <w:name w:val="Table Grid"/>
    <w:basedOn w:val="8"/>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5"/>
    <w:qFormat/>
    <w:uiPriority w:val="99"/>
    <w:rPr>
      <w:sz w:val="18"/>
      <w:szCs w:val="18"/>
    </w:rPr>
  </w:style>
  <w:style w:type="character" w:customStyle="1" w:styleId="12">
    <w:name w:val="页脚 Char"/>
    <w:basedOn w:val="10"/>
    <w:link w:val="4"/>
    <w:qFormat/>
    <w:uiPriority w:val="99"/>
    <w:rPr>
      <w:sz w:val="18"/>
      <w:szCs w:val="18"/>
    </w:rPr>
  </w:style>
  <w:style w:type="character" w:customStyle="1" w:styleId="13">
    <w:name w:val="标题 2 Char"/>
    <w:basedOn w:val="10"/>
    <w:link w:val="3"/>
    <w:qFormat/>
    <w:uiPriority w:val="99"/>
    <w:rPr>
      <w:rFonts w:ascii="Arial" w:hAnsi="Arial" w:eastAsia="黑体" w:cs="Times New Roman"/>
      <w:b/>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1087</Words>
  <Characters>6202</Characters>
  <Lines>51</Lines>
  <Paragraphs>14</Paragraphs>
  <TotalTime>10</TotalTime>
  <ScaleCrop>false</ScaleCrop>
  <LinksUpToDate>false</LinksUpToDate>
  <CharactersWithSpaces>7275</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2021-11-20T15:09:00Z</dcterms:created>
  <dc:creator>丁兵</dc:creator>
  <cp:lastModifiedBy>test</cp:lastModifiedBy>
  <cp:lastPrinted>2021-12-22T01:42:00Z</cp:lastPrinted>
  <dcterms:modified xsi:type="dcterms:W3CDTF">2022-01-04T15:35:38Z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